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D013" w14:textId="77777777" w:rsidR="001775C9" w:rsidRPr="00AB2735" w:rsidRDefault="001775C9" w:rsidP="001775C9">
      <w:pPr>
        <w:rPr>
          <w:rFonts w:asciiTheme="minorHAnsi" w:hAnsiTheme="minorHAnsi" w:cstheme="minorHAnsi"/>
          <w:b/>
          <w:lang w:val="en-CA"/>
        </w:rPr>
      </w:pPr>
      <w:r w:rsidRPr="00AB2735">
        <w:rPr>
          <w:rFonts w:asciiTheme="minorHAnsi" w:hAnsiTheme="minorHAnsi" w:cstheme="minorHAnsi"/>
          <w:b/>
          <w:noProof/>
          <w:lang w:val="en-CA" w:eastAsia="en-CA"/>
        </w:rPr>
        <w:drawing>
          <wp:anchor distT="0" distB="0" distL="114300" distR="114300" simplePos="0" relativeHeight="251660288" behindDoc="1" locked="0" layoutInCell="1" allowOverlap="1" wp14:anchorId="4BC245C5" wp14:editId="76FB69BC">
            <wp:simplePos x="0" y="0"/>
            <wp:positionH relativeFrom="column">
              <wp:posOffset>25400</wp:posOffset>
            </wp:positionH>
            <wp:positionV relativeFrom="paragraph">
              <wp:posOffset>0</wp:posOffset>
            </wp:positionV>
            <wp:extent cx="1580116" cy="1488558"/>
            <wp:effectExtent l="19050" t="0" r="1034" b="0"/>
            <wp:wrapTight wrapText="bothSides">
              <wp:wrapPolygon edited="0">
                <wp:start x="-260" y="0"/>
                <wp:lineTo x="-260" y="21285"/>
                <wp:lineTo x="21614" y="21285"/>
                <wp:lineTo x="21614" y="0"/>
                <wp:lineTo x="-260" y="0"/>
              </wp:wrapPolygon>
            </wp:wrapTight>
            <wp:docPr id="6" name="Picture 1" descr="TMH_WEUSTH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H_WEUSTHEM LOGO.jpg"/>
                    <pic:cNvPicPr/>
                  </pic:nvPicPr>
                  <pic:blipFill>
                    <a:blip r:embed="rId8" cstate="print"/>
                    <a:stretch>
                      <a:fillRect/>
                    </a:stretch>
                  </pic:blipFill>
                  <pic:spPr>
                    <a:xfrm>
                      <a:off x="0" y="0"/>
                      <a:ext cx="1580116" cy="1488558"/>
                    </a:xfrm>
                    <a:prstGeom prst="rect">
                      <a:avLst/>
                    </a:prstGeom>
                  </pic:spPr>
                </pic:pic>
              </a:graphicData>
            </a:graphic>
          </wp:anchor>
        </w:drawing>
      </w:r>
    </w:p>
    <w:p w14:paraId="0C9E3B2D" w14:textId="06656B9C" w:rsidR="001775C9" w:rsidRPr="00AB2735" w:rsidRDefault="00C71847" w:rsidP="001775C9">
      <w:pPr>
        <w:rPr>
          <w:rFonts w:asciiTheme="minorHAnsi" w:hAnsiTheme="minorHAnsi" w:cstheme="minorHAnsi"/>
          <w:b/>
          <w:lang w:val="en-CA"/>
        </w:rPr>
      </w:pPr>
      <w:r w:rsidRPr="00AB2735">
        <w:rPr>
          <w:rFonts w:asciiTheme="minorHAnsi" w:hAnsiTheme="minorHAnsi" w:cstheme="minorHAnsi"/>
          <w:b/>
          <w:noProof/>
          <w:lang w:val="en-CA" w:eastAsia="en-CA"/>
        </w:rPr>
        <mc:AlternateContent>
          <mc:Choice Requires="wps">
            <w:drawing>
              <wp:anchor distT="0" distB="0" distL="114300" distR="114300" simplePos="0" relativeHeight="251664384" behindDoc="0" locked="0" layoutInCell="1" allowOverlap="1" wp14:anchorId="6132D499" wp14:editId="2564CBD7">
                <wp:simplePos x="0" y="0"/>
                <wp:positionH relativeFrom="column">
                  <wp:posOffset>1943100</wp:posOffset>
                </wp:positionH>
                <wp:positionV relativeFrom="paragraph">
                  <wp:posOffset>777241</wp:posOffset>
                </wp:positionV>
                <wp:extent cx="3780790" cy="4572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4572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CCCC925" w14:textId="7BFFDBDD" w:rsidR="00F552F1" w:rsidRPr="00BA04E1" w:rsidRDefault="00F552F1" w:rsidP="00D44A51">
                            <w:pPr>
                              <w:jc w:val="center"/>
                              <w:rPr>
                                <w:b/>
                                <w:caps/>
                                <w:color w:val="800080"/>
                              </w:rPr>
                            </w:pPr>
                            <w:r>
                              <w:rPr>
                                <w:b/>
                                <w:caps/>
                                <w:color w:val="800080"/>
                              </w:rPr>
                              <w:t>NEW BRUNSWICK - ANGLOPHONE NORTH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2D499" id="_x0000_t202" coordsize="21600,21600" o:spt="202" path="m,l,21600r21600,l21600,xe">
                <v:stroke joinstyle="miter"/>
                <v:path gradientshapeok="t" o:connecttype="rect"/>
              </v:shapetype>
              <v:shape id="Text Box 4" o:spid="_x0000_s1026" type="#_x0000_t202" style="position:absolute;margin-left:153pt;margin-top:61.2pt;width:297.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" stroked="f">
                <v:textbox>
                  <w:txbxContent>
                    <w:p w14:paraId="4CCCC925" w14:textId="7BFFDBDD" w:rsidR="00F552F1" w:rsidRPr="00BA04E1" w:rsidRDefault="00F552F1" w:rsidP="00D44A51">
                      <w:pPr>
                        <w:jc w:val="center"/>
                        <w:rPr>
                          <w:b/>
                          <w:caps/>
                          <w:color w:val="800080"/>
                        </w:rPr>
                      </w:pPr>
                      <w:r>
                        <w:rPr>
                          <w:b/>
                          <w:caps/>
                          <w:color w:val="800080"/>
                        </w:rPr>
                        <w:t>NEW BRUNSWICK - ANGLOPHONE NORTH school district</w:t>
                      </w:r>
                    </w:p>
                  </w:txbxContent>
                </v:textbox>
              </v:shape>
            </w:pict>
          </mc:Fallback>
        </mc:AlternateContent>
      </w:r>
      <w:r w:rsidR="00A52B31" w:rsidRPr="00AB2735">
        <w:rPr>
          <w:rFonts w:asciiTheme="minorHAnsi" w:hAnsiTheme="minorHAnsi" w:cstheme="minorHAnsi"/>
          <w:b/>
          <w:noProof/>
          <w:lang w:val="en-CA" w:eastAsia="en-CA"/>
        </w:rPr>
        <mc:AlternateContent>
          <mc:Choice Requires="wps">
            <w:drawing>
              <wp:anchor distT="0" distB="0" distL="114300" distR="114300" simplePos="0" relativeHeight="251665408" behindDoc="0" locked="0" layoutInCell="1" allowOverlap="1" wp14:anchorId="26144E6E" wp14:editId="51BF11B8">
                <wp:simplePos x="0" y="0"/>
                <wp:positionH relativeFrom="column">
                  <wp:posOffset>1980565</wp:posOffset>
                </wp:positionH>
                <wp:positionV relativeFrom="paragraph">
                  <wp:posOffset>205740</wp:posOffset>
                </wp:positionV>
                <wp:extent cx="3603625" cy="4953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953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E69128" w14:textId="03ED3878" w:rsidR="00F552F1" w:rsidRPr="00616CFE" w:rsidRDefault="00F552F1" w:rsidP="00D44A51">
                            <w:pPr>
                              <w:jc w:val="center"/>
                              <w:rPr>
                                <w:caps/>
                                <w:color w:val="000000" w:themeColor="text1"/>
                                <w:sz w:val="28"/>
                                <w:szCs w:val="28"/>
                              </w:rPr>
                            </w:pPr>
                            <w:r>
                              <w:rPr>
                                <w:caps/>
                                <w:color w:val="000000" w:themeColor="text1"/>
                                <w:sz w:val="28"/>
                                <w:szCs w:val="28"/>
                              </w:rPr>
                              <w:t xml:space="preserve">MENTAL HEALTH AND HIGH SCHOOL CURRICULUM </w:t>
                            </w:r>
                            <w:r w:rsidRPr="006C1276">
                              <w:rPr>
                                <w:caps/>
                                <w:color w:val="000000" w:themeColor="text1"/>
                                <w:sz w:val="28"/>
                                <w:szCs w:val="28"/>
                              </w:rPr>
                              <w:t xml:space="preserve">Guide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44E6E" id="Text Box 5" o:spid="_x0000_s1027" type="#_x0000_t202" style="position:absolute;margin-left:155.95pt;margin-top:16.2pt;width:283.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" stroked="f">
                <v:textbox>
                  <w:txbxContent>
                    <w:p w14:paraId="7EE69128" w14:textId="03ED3878" w:rsidR="00F552F1" w:rsidRPr="00616CFE" w:rsidRDefault="00F552F1" w:rsidP="00D44A51">
                      <w:pPr>
                        <w:jc w:val="center"/>
                        <w:rPr>
                          <w:caps/>
                          <w:color w:val="000000" w:themeColor="text1"/>
                          <w:sz w:val="28"/>
                          <w:szCs w:val="28"/>
                        </w:rPr>
                      </w:pPr>
                      <w:r>
                        <w:rPr>
                          <w:caps/>
                          <w:color w:val="000000" w:themeColor="text1"/>
                          <w:sz w:val="28"/>
                          <w:szCs w:val="28"/>
                        </w:rPr>
                        <w:t xml:space="preserve">MENTAL HEALTH AND HIGH SCHOOL CURRICULUM </w:t>
                      </w:r>
                      <w:r w:rsidRPr="006C1276">
                        <w:rPr>
                          <w:caps/>
                          <w:color w:val="000000" w:themeColor="text1"/>
                          <w:sz w:val="28"/>
                          <w:szCs w:val="28"/>
                        </w:rPr>
                        <w:t xml:space="preserve">Guide </w:t>
                      </w:r>
                    </w:p>
                  </w:txbxContent>
                </v:textbox>
              </v:shape>
            </w:pict>
          </mc:Fallback>
        </mc:AlternateContent>
      </w:r>
      <w:r w:rsidR="00A52B31" w:rsidRPr="00AB2735">
        <w:rPr>
          <w:rFonts w:asciiTheme="minorHAnsi" w:hAnsiTheme="minorHAnsi" w:cstheme="minorHAnsi"/>
          <w:b/>
          <w:noProof/>
          <w:lang w:val="en-CA" w:eastAsia="en-CA"/>
        </w:rPr>
        <mc:AlternateContent>
          <mc:Choice Requires="wps">
            <w:drawing>
              <wp:anchor distT="4294967293" distB="4294967293" distL="114300" distR="114300" simplePos="0" relativeHeight="251662336" behindDoc="0" locked="0" layoutInCell="1" allowOverlap="1" wp14:anchorId="4A913A37" wp14:editId="40733403">
                <wp:simplePos x="0" y="0"/>
                <wp:positionH relativeFrom="margin">
                  <wp:align>right</wp:align>
                </wp:positionH>
                <wp:positionV relativeFrom="paragraph">
                  <wp:posOffset>745490</wp:posOffset>
                </wp:positionV>
                <wp:extent cx="4153535" cy="0"/>
                <wp:effectExtent l="0" t="0" r="37465" b="19050"/>
                <wp:wrapTight wrapText="bothSides">
                  <wp:wrapPolygon edited="0">
                    <wp:start x="0" y="-1"/>
                    <wp:lineTo x="0" y="-1"/>
                    <wp:lineTo x="21696" y="-1"/>
                    <wp:lineTo x="21696" y="-1"/>
                    <wp:lineTo x="0" y="-1"/>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3535" cy="0"/>
                        </a:xfrm>
                        <a:prstGeom prst="line">
                          <a:avLst/>
                        </a:prstGeom>
                        <a:noFill/>
                        <a:ln w="12700">
                          <a:solidFill>
                            <a:schemeClr val="tx1">
                              <a:lumMod val="100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6BC51" id="Line 3" o:spid="_x0000_s1026" style="position:absolute;z-index:251662336;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275.85pt,58.7pt" to="602.9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" strokecolor="black [3213]" strokeweight="1pt">
                <w10:wrap type="tight" anchorx="margin"/>
              </v:line>
            </w:pict>
          </mc:Fallback>
        </mc:AlternateContent>
      </w:r>
      <w:r w:rsidR="00A52B31" w:rsidRPr="00AB2735">
        <w:rPr>
          <w:rFonts w:asciiTheme="minorHAnsi" w:hAnsiTheme="minorHAnsi" w:cstheme="minorHAnsi"/>
          <w:b/>
          <w:noProof/>
          <w:lang w:val="en-CA" w:eastAsia="en-CA"/>
        </w:rPr>
        <mc:AlternateContent>
          <mc:Choice Requires="wps">
            <w:drawing>
              <wp:anchor distT="0" distB="0" distL="114296" distR="114296" simplePos="0" relativeHeight="251661312" behindDoc="0" locked="0" layoutInCell="1" allowOverlap="1" wp14:anchorId="1E9F1D60" wp14:editId="5936ADE3">
                <wp:simplePos x="0" y="0"/>
                <wp:positionH relativeFrom="column">
                  <wp:posOffset>1911350</wp:posOffset>
                </wp:positionH>
                <wp:positionV relativeFrom="paragraph">
                  <wp:posOffset>5715</wp:posOffset>
                </wp:positionV>
                <wp:extent cx="0" cy="929640"/>
                <wp:effectExtent l="0" t="0" r="19050" b="22860"/>
                <wp:wrapTight wrapText="bothSides">
                  <wp:wrapPolygon edited="0">
                    <wp:start x="-1" y="0"/>
                    <wp:lineTo x="-1" y="21689"/>
                    <wp:lineTo x="-1" y="21689"/>
                    <wp:lineTo x="-1" y="0"/>
                    <wp:lineTo x="-1" y="0"/>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12700">
                          <a:solidFill>
                            <a:schemeClr val="tx1">
                              <a:lumMod val="100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FADC9" id="Line 2"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0.5pt,.45pt" to="150.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" strokecolor="black [3213]" strokeweight="1pt">
                <w10:wrap type="tight"/>
              </v:line>
            </w:pict>
          </mc:Fallback>
        </mc:AlternateContent>
      </w:r>
      <w:r w:rsidR="001775C9" w:rsidRPr="00AB2735">
        <w:rPr>
          <w:rFonts w:asciiTheme="minorHAnsi" w:hAnsiTheme="minorHAnsi" w:cstheme="minorHAnsi"/>
          <w:b/>
          <w:noProof/>
          <w:lang w:val="en-CA" w:eastAsia="en-CA"/>
        </w:rPr>
        <w:drawing>
          <wp:anchor distT="0" distB="0" distL="114300" distR="114300" simplePos="0" relativeHeight="251663360" behindDoc="1" locked="0" layoutInCell="1" allowOverlap="1" wp14:anchorId="21B9B848" wp14:editId="6CDF5B53">
            <wp:simplePos x="0" y="0"/>
            <wp:positionH relativeFrom="margin">
              <wp:posOffset>-3274695</wp:posOffset>
            </wp:positionH>
            <wp:positionV relativeFrom="margin">
              <wp:posOffset>2445385</wp:posOffset>
            </wp:positionV>
            <wp:extent cx="10081260" cy="13056235"/>
            <wp:effectExtent l="19050" t="0" r="0" b="0"/>
            <wp:wrapTight wrapText="bothSides">
              <wp:wrapPolygon edited="0">
                <wp:start x="-41" y="0"/>
                <wp:lineTo x="-41" y="21557"/>
                <wp:lineTo x="21592" y="21557"/>
                <wp:lineTo x="21592" y="0"/>
                <wp:lineTo x="-41" y="0"/>
              </wp:wrapPolygon>
            </wp:wrapTight>
            <wp:docPr id="16" name="WordPictureWatermark4739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7394556"/>
                    <pic:cNvPicPr>
                      <a:picLocks noChangeAspect="1" noChangeArrowheads="1"/>
                    </pic:cNvPicPr>
                  </pic:nvPicPr>
                  <pic:blipFill>
                    <a:blip r:embed="rId9" cstate="print"/>
                    <a:srcRect/>
                    <a:stretch>
                      <a:fillRect/>
                    </a:stretch>
                  </pic:blipFill>
                  <pic:spPr bwMode="auto">
                    <a:xfrm>
                      <a:off x="0" y="0"/>
                      <a:ext cx="10081260" cy="13056235"/>
                    </a:xfrm>
                    <a:prstGeom prst="rect">
                      <a:avLst/>
                    </a:prstGeom>
                    <a:noFill/>
                  </pic:spPr>
                </pic:pic>
              </a:graphicData>
            </a:graphic>
          </wp:anchor>
        </w:drawing>
      </w:r>
      <w:r w:rsidR="001775C9" w:rsidRPr="00AB2735">
        <w:rPr>
          <w:rFonts w:asciiTheme="minorHAnsi" w:hAnsiTheme="minorHAnsi" w:cstheme="minorHAnsi"/>
          <w:b/>
          <w:lang w:val="en-CA"/>
        </w:rPr>
        <w:br w:type="page"/>
      </w:r>
    </w:p>
    <w:p w14:paraId="2D50F1C2" w14:textId="77777777" w:rsidR="001775C9" w:rsidRPr="00AB2735" w:rsidRDefault="001775C9" w:rsidP="001775C9">
      <w:pPr>
        <w:spacing w:line="360" w:lineRule="auto"/>
        <w:rPr>
          <w:rFonts w:asciiTheme="minorHAnsi" w:hAnsiTheme="minorHAnsi" w:cstheme="minorHAnsi"/>
          <w:b/>
          <w:color w:val="800080"/>
          <w:lang w:val="en-CA"/>
        </w:rPr>
      </w:pPr>
      <w:r w:rsidRPr="00AB2735">
        <w:rPr>
          <w:rFonts w:asciiTheme="minorHAnsi" w:hAnsiTheme="minorHAnsi" w:cstheme="minorHAnsi"/>
          <w:b/>
          <w:noProof/>
          <w:lang w:val="en-CA" w:eastAsia="en-CA"/>
        </w:rPr>
        <w:lastRenderedPageBreak/>
        <w:drawing>
          <wp:anchor distT="0" distB="0" distL="114300" distR="114300" simplePos="0" relativeHeight="251666432" behindDoc="1" locked="0" layoutInCell="1" allowOverlap="1" wp14:anchorId="4FBF6FB2" wp14:editId="7E2CD2E8">
            <wp:simplePos x="0" y="0"/>
            <wp:positionH relativeFrom="column">
              <wp:posOffset>27676</wp:posOffset>
            </wp:positionH>
            <wp:positionV relativeFrom="paragraph">
              <wp:posOffset>-146649</wp:posOffset>
            </wp:positionV>
            <wp:extent cx="1584194" cy="1492370"/>
            <wp:effectExtent l="19050" t="0" r="1270" b="0"/>
            <wp:wrapTight wrapText="bothSides">
              <wp:wrapPolygon edited="0">
                <wp:start x="-260" y="0"/>
                <wp:lineTo x="-260" y="21287"/>
                <wp:lineTo x="21617" y="21287"/>
                <wp:lineTo x="21617" y="0"/>
                <wp:lineTo x="-260" y="0"/>
              </wp:wrapPolygon>
            </wp:wrapTight>
            <wp:docPr id="2" name="Picture 1" descr="TMH_WEUSTH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H_WEUSTHEM LOGO.jpg"/>
                    <pic:cNvPicPr/>
                  </pic:nvPicPr>
                  <pic:blipFill>
                    <a:blip r:embed="rId8" cstate="print"/>
                    <a:stretch>
                      <a:fillRect/>
                    </a:stretch>
                  </pic:blipFill>
                  <pic:spPr>
                    <a:xfrm>
                      <a:off x="0" y="0"/>
                      <a:ext cx="1579880" cy="1488440"/>
                    </a:xfrm>
                    <a:prstGeom prst="rect">
                      <a:avLst/>
                    </a:prstGeom>
                  </pic:spPr>
                </pic:pic>
              </a:graphicData>
            </a:graphic>
          </wp:anchor>
        </w:drawing>
      </w:r>
    </w:p>
    <w:p w14:paraId="15577319" w14:textId="1B0C6525" w:rsidR="00D44A51" w:rsidRPr="00AB2735" w:rsidRDefault="00D44A51" w:rsidP="00D44A51">
      <w:pPr>
        <w:spacing w:line="360" w:lineRule="auto"/>
        <w:jc w:val="center"/>
        <w:rPr>
          <w:rFonts w:asciiTheme="minorHAnsi" w:hAnsiTheme="minorHAnsi" w:cstheme="minorHAnsi"/>
          <w:b/>
          <w:color w:val="800080"/>
          <w:lang w:val="en-CA"/>
        </w:rPr>
      </w:pPr>
      <w:r w:rsidRPr="00AB2735">
        <w:rPr>
          <w:rFonts w:asciiTheme="minorHAnsi" w:hAnsiTheme="minorHAnsi" w:cstheme="minorHAnsi"/>
          <w:b/>
        </w:rPr>
        <w:t xml:space="preserve">Evaluation of the Guide Training Program in </w:t>
      </w:r>
      <w:r w:rsidR="00AE3CC0" w:rsidRPr="00AB2735">
        <w:rPr>
          <w:rFonts w:asciiTheme="minorHAnsi" w:hAnsiTheme="minorHAnsi" w:cstheme="minorHAnsi"/>
          <w:b/>
        </w:rPr>
        <w:t xml:space="preserve">Anglophone </w:t>
      </w:r>
      <w:r w:rsidRPr="00AB2735">
        <w:rPr>
          <w:rFonts w:asciiTheme="minorHAnsi" w:hAnsiTheme="minorHAnsi" w:cstheme="minorHAnsi"/>
          <w:b/>
        </w:rPr>
        <w:t xml:space="preserve">North </w:t>
      </w:r>
      <w:r w:rsidR="00AE3CC0" w:rsidRPr="00AB2735">
        <w:rPr>
          <w:rFonts w:asciiTheme="minorHAnsi" w:hAnsiTheme="minorHAnsi" w:cstheme="minorHAnsi"/>
          <w:b/>
        </w:rPr>
        <w:t>School District</w:t>
      </w:r>
      <w:r w:rsidRPr="00AB2735">
        <w:rPr>
          <w:rFonts w:asciiTheme="minorHAnsi" w:hAnsiTheme="minorHAnsi" w:cstheme="minorHAnsi"/>
          <w:b/>
        </w:rPr>
        <w:t xml:space="preserve">, </w:t>
      </w:r>
      <w:r w:rsidR="00AE3CC0" w:rsidRPr="00AB2735">
        <w:rPr>
          <w:rFonts w:asciiTheme="minorHAnsi" w:hAnsiTheme="minorHAnsi" w:cstheme="minorHAnsi"/>
          <w:b/>
        </w:rPr>
        <w:t>New Brunswick</w:t>
      </w:r>
    </w:p>
    <w:p w14:paraId="06473A16" w14:textId="4CBE3C61" w:rsidR="002C36E2" w:rsidRPr="00AB2735" w:rsidRDefault="00D44A51" w:rsidP="00AE3CC0">
      <w:pPr>
        <w:spacing w:line="360" w:lineRule="auto"/>
        <w:jc w:val="center"/>
        <w:rPr>
          <w:rFonts w:asciiTheme="minorHAnsi" w:hAnsiTheme="minorHAnsi" w:cstheme="minorHAnsi"/>
        </w:rPr>
      </w:pPr>
      <w:r w:rsidRPr="00AB2735">
        <w:rPr>
          <w:rFonts w:asciiTheme="minorHAnsi" w:hAnsiTheme="minorHAnsi" w:cstheme="minorHAnsi"/>
        </w:rPr>
        <w:t xml:space="preserve">Dr. </w:t>
      </w:r>
      <w:proofErr w:type="spellStart"/>
      <w:r w:rsidRPr="00AB2735">
        <w:rPr>
          <w:rFonts w:asciiTheme="minorHAnsi" w:hAnsiTheme="minorHAnsi" w:cstheme="minorHAnsi"/>
        </w:rPr>
        <w:t>Yifeng</w:t>
      </w:r>
      <w:proofErr w:type="spellEnd"/>
      <w:r w:rsidRPr="00AB2735">
        <w:rPr>
          <w:rFonts w:asciiTheme="minorHAnsi" w:hAnsiTheme="minorHAnsi" w:cstheme="minorHAnsi"/>
        </w:rPr>
        <w:t xml:space="preserve"> Wei, </w:t>
      </w:r>
      <w:r w:rsidR="00AE3CC0" w:rsidRPr="00AB2735">
        <w:rPr>
          <w:rFonts w:asciiTheme="minorHAnsi" w:hAnsiTheme="minorHAnsi" w:cstheme="minorHAnsi"/>
        </w:rPr>
        <w:t xml:space="preserve">John B. Fletcher, </w:t>
      </w:r>
      <w:r w:rsidRPr="00AB2735">
        <w:rPr>
          <w:rFonts w:asciiTheme="minorHAnsi" w:hAnsiTheme="minorHAnsi" w:cstheme="minorHAnsi"/>
        </w:rPr>
        <w:t xml:space="preserve">Rebecca </w:t>
      </w:r>
      <w:proofErr w:type="spellStart"/>
      <w:r w:rsidRPr="00AB2735">
        <w:rPr>
          <w:rFonts w:asciiTheme="minorHAnsi" w:hAnsiTheme="minorHAnsi" w:cstheme="minorHAnsi"/>
        </w:rPr>
        <w:t>Alaffe</w:t>
      </w:r>
      <w:proofErr w:type="spellEnd"/>
      <w:r w:rsidR="004644EA" w:rsidRPr="00AB2735">
        <w:rPr>
          <w:rFonts w:asciiTheme="minorHAnsi" w:hAnsiTheme="minorHAnsi" w:cstheme="minorHAnsi"/>
        </w:rPr>
        <w:t>, Andrew Baxter</w:t>
      </w:r>
    </w:p>
    <w:p w14:paraId="03AE458D" w14:textId="16CB09E4" w:rsidR="00D44A51" w:rsidRPr="00AB2735" w:rsidRDefault="00991438" w:rsidP="00AE3CC0">
      <w:pPr>
        <w:spacing w:line="360" w:lineRule="auto"/>
        <w:jc w:val="center"/>
        <w:rPr>
          <w:rFonts w:asciiTheme="minorHAnsi" w:hAnsiTheme="minorHAnsi" w:cstheme="minorHAnsi"/>
        </w:rPr>
      </w:pPr>
      <w:r w:rsidRPr="00AB2735">
        <w:rPr>
          <w:rFonts w:asciiTheme="minorHAnsi" w:hAnsiTheme="minorHAnsi" w:cstheme="minorHAnsi"/>
        </w:rPr>
        <w:t>February</w:t>
      </w:r>
      <w:r w:rsidR="00946DAE" w:rsidRPr="00AB2735">
        <w:rPr>
          <w:rFonts w:asciiTheme="minorHAnsi" w:hAnsiTheme="minorHAnsi" w:cstheme="minorHAnsi"/>
        </w:rPr>
        <w:t xml:space="preserve"> </w:t>
      </w:r>
      <w:r w:rsidR="00B8762E" w:rsidRPr="00AB2735">
        <w:rPr>
          <w:rFonts w:asciiTheme="minorHAnsi" w:hAnsiTheme="minorHAnsi" w:cstheme="minorHAnsi"/>
        </w:rPr>
        <w:t>202</w:t>
      </w:r>
      <w:r w:rsidR="00946DAE" w:rsidRPr="00AB2735">
        <w:rPr>
          <w:rFonts w:asciiTheme="minorHAnsi" w:hAnsiTheme="minorHAnsi" w:cstheme="minorHAnsi"/>
        </w:rPr>
        <w:t>1</w:t>
      </w:r>
    </w:p>
    <w:p w14:paraId="34BA1447" w14:textId="77777777" w:rsidR="00AE3CC0" w:rsidRPr="00AB2735" w:rsidRDefault="00AE3CC0" w:rsidP="001775C9">
      <w:pPr>
        <w:spacing w:line="360" w:lineRule="auto"/>
        <w:rPr>
          <w:rFonts w:asciiTheme="minorHAnsi" w:hAnsiTheme="minorHAnsi" w:cstheme="minorHAnsi"/>
          <w:b/>
          <w:color w:val="800080"/>
          <w:lang w:val="en-CA"/>
        </w:rPr>
      </w:pPr>
    </w:p>
    <w:p w14:paraId="4FAEE15A" w14:textId="69DBEA58" w:rsidR="001775C9" w:rsidRPr="00AB2735" w:rsidRDefault="001775C9" w:rsidP="001775C9">
      <w:pPr>
        <w:spacing w:line="360" w:lineRule="auto"/>
        <w:rPr>
          <w:rFonts w:asciiTheme="minorHAnsi" w:hAnsiTheme="minorHAnsi" w:cstheme="minorHAnsi"/>
          <w:b/>
          <w:color w:val="800080"/>
          <w:lang w:val="en-CA"/>
        </w:rPr>
      </w:pPr>
      <w:r w:rsidRPr="00AB2735">
        <w:rPr>
          <w:rFonts w:asciiTheme="minorHAnsi" w:hAnsiTheme="minorHAnsi" w:cstheme="minorHAnsi"/>
          <w:b/>
          <w:color w:val="800080"/>
          <w:lang w:val="en-CA"/>
        </w:rPr>
        <w:t>Background</w:t>
      </w:r>
    </w:p>
    <w:p w14:paraId="03081D34" w14:textId="5AEFCDFC" w:rsidR="001775C9" w:rsidRPr="00AB2735" w:rsidRDefault="001775C9" w:rsidP="001775C9">
      <w:pPr>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The Mental Health &amp; High School Curriculum Guide (the Guide) was developed in 2007 by Dr. Stan Kutcher, Sun Life Chair in Adolescent Mental Health in collaboration with the Canadian Mental Health Association. The second and most current edition was prepared in 2014.  This resource is compliant with Provincial/Territorial curriculum and was designed to be integrated into Grade 9 or 10 classrooms by the regular classroom teacher who has ideally been introduced to the resource and its pedagogical application during a professional development session. In contrast to stand-alone mental health or anti-stigma programs, this novel approach strives to improve mental health literacy (understanding how to optimize and maintain good mental health; understanding mental disorders and their treatments; decreasing stigma; enhancing help-seeking efficacy) in students and teachers alike; utilizing familiar, education system-compatible, sustainable and inexpensive pedagogic processes by supporting the integration of the resource into existing secondary school curricula.  </w:t>
      </w:r>
      <w:r w:rsidR="00C55FF1" w:rsidRPr="00AB2735">
        <w:rPr>
          <w:rFonts w:asciiTheme="minorHAnsi" w:hAnsiTheme="minorHAnsi" w:cstheme="minorHAnsi"/>
          <w:lang w:val="en-CA"/>
        </w:rPr>
        <w:t>S</w:t>
      </w:r>
      <w:r w:rsidRPr="00AB2735">
        <w:rPr>
          <w:rFonts w:asciiTheme="minorHAnsi" w:hAnsiTheme="minorHAnsi" w:cstheme="minorHAnsi"/>
          <w:lang w:val="en-CA"/>
        </w:rPr>
        <w:t>ubstantive research has demonstrated highly positive impacts of this approach on all aspects of mental health literacy</w:t>
      </w:r>
      <w:r w:rsidR="00AE3CC0" w:rsidRPr="00AB2735">
        <w:rPr>
          <w:rFonts w:asciiTheme="minorHAnsi" w:hAnsiTheme="minorHAnsi" w:cstheme="minorHAnsi"/>
          <w:lang w:val="en-CA"/>
        </w:rPr>
        <w:t xml:space="preserve"> (</w:t>
      </w:r>
      <w:r w:rsidR="006203AD" w:rsidRPr="00AB2735">
        <w:rPr>
          <w:rFonts w:asciiTheme="minorHAnsi" w:hAnsiTheme="minorHAnsi" w:cstheme="minorHAnsi"/>
          <w:lang w:val="en-CA"/>
        </w:rPr>
        <w:t xml:space="preserve">Kutcher, Wei, </w:t>
      </w:r>
      <w:proofErr w:type="spellStart"/>
      <w:r w:rsidR="006203AD" w:rsidRPr="00AB2735">
        <w:rPr>
          <w:rFonts w:asciiTheme="minorHAnsi" w:hAnsiTheme="minorHAnsi" w:cstheme="minorHAnsi"/>
          <w:lang w:val="en-CA"/>
        </w:rPr>
        <w:t>Gilberds</w:t>
      </w:r>
      <w:proofErr w:type="spellEnd"/>
      <w:r w:rsidR="006203AD" w:rsidRPr="00AB2735">
        <w:rPr>
          <w:rFonts w:asciiTheme="minorHAnsi" w:hAnsiTheme="minorHAnsi" w:cstheme="minorHAnsi"/>
          <w:lang w:val="en-CA"/>
        </w:rPr>
        <w:t>, et al., 2016; 2017; Wei, Kutcher, 2015</w:t>
      </w:r>
      <w:r w:rsidR="00AA317D" w:rsidRPr="00AB2735">
        <w:rPr>
          <w:rFonts w:asciiTheme="minorHAnsi" w:hAnsiTheme="minorHAnsi" w:cstheme="minorHAnsi"/>
          <w:lang w:val="en-CA"/>
        </w:rPr>
        <w:t xml:space="preserve">; </w:t>
      </w:r>
      <w:proofErr w:type="spellStart"/>
      <w:r w:rsidR="00AA317D" w:rsidRPr="00AB2735">
        <w:rPr>
          <w:rFonts w:asciiTheme="minorHAnsi" w:hAnsiTheme="minorHAnsi" w:cstheme="minorHAnsi"/>
          <w:lang w:val="en-CA"/>
        </w:rPr>
        <w:t>Milin</w:t>
      </w:r>
      <w:proofErr w:type="spellEnd"/>
      <w:r w:rsidR="0099450D" w:rsidRPr="00AB2735">
        <w:rPr>
          <w:rFonts w:asciiTheme="minorHAnsi" w:hAnsiTheme="minorHAnsi" w:cstheme="minorHAnsi"/>
          <w:lang w:val="en-CA"/>
        </w:rPr>
        <w:t xml:space="preserve"> </w:t>
      </w:r>
      <w:r w:rsidR="00AA317D" w:rsidRPr="00AB2735">
        <w:rPr>
          <w:rFonts w:asciiTheme="minorHAnsi" w:hAnsiTheme="minorHAnsi" w:cstheme="minorHAnsi"/>
          <w:lang w:val="en-CA"/>
        </w:rPr>
        <w:t>et al., 2016</w:t>
      </w:r>
      <w:r w:rsidR="006203AD" w:rsidRPr="00AB2735">
        <w:rPr>
          <w:rFonts w:asciiTheme="minorHAnsi" w:hAnsiTheme="minorHAnsi" w:cstheme="minorHAnsi"/>
          <w:lang w:val="en-CA"/>
        </w:rPr>
        <w:t>)</w:t>
      </w:r>
      <w:r w:rsidRPr="00AB2735">
        <w:rPr>
          <w:rFonts w:asciiTheme="minorHAnsi" w:hAnsiTheme="minorHAnsi" w:cstheme="minorHAnsi"/>
          <w:lang w:val="en-CA"/>
        </w:rPr>
        <w:t>.</w:t>
      </w:r>
    </w:p>
    <w:p w14:paraId="7F4A6456" w14:textId="6A4D5AA5" w:rsidR="001775C9" w:rsidRPr="00AB2735" w:rsidRDefault="001775C9" w:rsidP="00BF666F">
      <w:pPr>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This approach was designed to be easily integrated into existing education and health systems, and its </w:t>
      </w:r>
      <w:r w:rsidR="00F571A2" w:rsidRPr="00AB2735">
        <w:rPr>
          <w:rFonts w:asciiTheme="minorHAnsi" w:hAnsiTheme="minorHAnsi" w:cstheme="minorHAnsi"/>
          <w:lang w:val="en-CA"/>
        </w:rPr>
        <w:t xml:space="preserve">successful </w:t>
      </w:r>
      <w:r w:rsidRPr="00AB2735">
        <w:rPr>
          <w:rFonts w:asciiTheme="minorHAnsi" w:hAnsiTheme="minorHAnsi" w:cstheme="minorHAnsi"/>
          <w:lang w:val="en-CA"/>
        </w:rPr>
        <w:t>global application attests to the value of this delivery method.  This is not a program parachuted into a school or school system, it is a human resource capacity-enhancing intervention designed to be sustainable and frugally applied.  All materials are freely available on-line where they can easily be accessed by educators, health care providers, students, and parents alike.</w:t>
      </w:r>
    </w:p>
    <w:p w14:paraId="63F8266F" w14:textId="603EBE04" w:rsidR="001775C9" w:rsidRPr="00AB2735" w:rsidRDefault="001775C9" w:rsidP="006C6F64">
      <w:pPr>
        <w:spacing w:line="360" w:lineRule="auto"/>
        <w:ind w:firstLine="720"/>
        <w:rPr>
          <w:rFonts w:asciiTheme="minorHAnsi" w:hAnsiTheme="minorHAnsi" w:cstheme="minorHAnsi"/>
          <w:lang w:val="en-CA"/>
        </w:rPr>
      </w:pPr>
      <w:r w:rsidRPr="00AB2735">
        <w:rPr>
          <w:rFonts w:asciiTheme="minorHAnsi" w:hAnsiTheme="minorHAnsi" w:cstheme="minorHAnsi"/>
          <w:lang w:val="en-CA"/>
        </w:rPr>
        <w:lastRenderedPageBreak/>
        <w:t>For recent publications in scientific journals related to these interventions see the reference list at the end of this report. Evaluations of previous training programs can be found at: http://teenmentalhealth.org/toolbox/?filter_category-filter=school-mental-health-reports</w:t>
      </w:r>
    </w:p>
    <w:p w14:paraId="64455A33" w14:textId="63D2CB7D" w:rsidR="004D5D81" w:rsidRPr="00AB2735" w:rsidRDefault="001775C9" w:rsidP="00C161EE">
      <w:pPr>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This report is an evaluation of </w:t>
      </w:r>
      <w:r w:rsidR="00AE3CC0" w:rsidRPr="00AB2735">
        <w:rPr>
          <w:rFonts w:asciiTheme="minorHAnsi" w:hAnsiTheme="minorHAnsi" w:cstheme="minorHAnsi"/>
          <w:lang w:val="en-CA"/>
        </w:rPr>
        <w:t>The Mental Health and High School Curriculum</w:t>
      </w:r>
      <w:r w:rsidR="00F571A2" w:rsidRPr="00AB2735">
        <w:rPr>
          <w:rFonts w:asciiTheme="minorHAnsi" w:hAnsiTheme="minorHAnsi" w:cstheme="minorHAnsi"/>
          <w:lang w:val="en-CA"/>
        </w:rPr>
        <w:t xml:space="preserve"> Guide</w:t>
      </w:r>
      <w:r w:rsidRPr="00AB2735">
        <w:rPr>
          <w:rFonts w:asciiTheme="minorHAnsi" w:hAnsiTheme="minorHAnsi" w:cstheme="minorHAnsi"/>
          <w:lang w:val="en-CA"/>
        </w:rPr>
        <w:t xml:space="preserve"> described above undertaken in </w:t>
      </w:r>
      <w:r w:rsidR="00AE3CC0" w:rsidRPr="00AB2735">
        <w:rPr>
          <w:rFonts w:asciiTheme="minorHAnsi" w:hAnsiTheme="minorHAnsi" w:cstheme="minorHAnsi"/>
          <w:lang w:val="en-CA"/>
        </w:rPr>
        <w:t>New Brunswick</w:t>
      </w:r>
      <w:r w:rsidR="00071B95" w:rsidRPr="00AB2735">
        <w:rPr>
          <w:rFonts w:asciiTheme="minorHAnsi" w:hAnsiTheme="minorHAnsi" w:cstheme="minorHAnsi"/>
          <w:lang w:val="en-CA"/>
        </w:rPr>
        <w:t>,</w:t>
      </w:r>
      <w:r w:rsidR="008902B8" w:rsidRPr="00AB2735">
        <w:rPr>
          <w:rFonts w:asciiTheme="minorHAnsi" w:hAnsiTheme="minorHAnsi" w:cstheme="minorHAnsi"/>
          <w:lang w:val="en-CA"/>
        </w:rPr>
        <w:t xml:space="preserve"> comprising</w:t>
      </w:r>
      <w:r w:rsidR="00071B95" w:rsidRPr="00AB2735">
        <w:rPr>
          <w:rFonts w:asciiTheme="minorHAnsi" w:hAnsiTheme="minorHAnsi" w:cstheme="minorHAnsi"/>
          <w:lang w:val="en-CA"/>
        </w:rPr>
        <w:t xml:space="preserve"> of</w:t>
      </w:r>
      <w:r w:rsidR="008902B8" w:rsidRPr="00AB2735">
        <w:rPr>
          <w:rFonts w:asciiTheme="minorHAnsi" w:hAnsiTheme="minorHAnsi" w:cstheme="minorHAnsi"/>
          <w:lang w:val="en-CA"/>
        </w:rPr>
        <w:t xml:space="preserve"> </w:t>
      </w:r>
      <w:r w:rsidR="00AE3CC0" w:rsidRPr="00AB2735">
        <w:rPr>
          <w:rFonts w:asciiTheme="minorHAnsi" w:hAnsiTheme="minorHAnsi" w:cstheme="minorHAnsi"/>
          <w:lang w:val="en-CA"/>
        </w:rPr>
        <w:t>two schools from the Anglophone North S</w:t>
      </w:r>
      <w:r w:rsidR="008902B8" w:rsidRPr="00AB2735">
        <w:rPr>
          <w:rFonts w:asciiTheme="minorHAnsi" w:hAnsiTheme="minorHAnsi" w:cstheme="minorHAnsi"/>
          <w:lang w:val="en-CA"/>
        </w:rPr>
        <w:t xml:space="preserve">chool </w:t>
      </w:r>
      <w:r w:rsidR="00AE3CC0" w:rsidRPr="00AB2735">
        <w:rPr>
          <w:rFonts w:asciiTheme="minorHAnsi" w:hAnsiTheme="minorHAnsi" w:cstheme="minorHAnsi"/>
          <w:lang w:val="en-CA"/>
        </w:rPr>
        <w:t>D</w:t>
      </w:r>
      <w:r w:rsidR="008902B8" w:rsidRPr="00AB2735">
        <w:rPr>
          <w:rFonts w:asciiTheme="minorHAnsi" w:hAnsiTheme="minorHAnsi" w:cstheme="minorHAnsi"/>
          <w:lang w:val="en-CA"/>
        </w:rPr>
        <w:t>istrict</w:t>
      </w:r>
      <w:r w:rsidR="00AE3CC0" w:rsidRPr="00AB2735">
        <w:rPr>
          <w:rFonts w:asciiTheme="minorHAnsi" w:hAnsiTheme="minorHAnsi" w:cstheme="minorHAnsi"/>
          <w:lang w:val="en-CA"/>
        </w:rPr>
        <w:t xml:space="preserve"> in </w:t>
      </w:r>
      <w:proofErr w:type="spellStart"/>
      <w:r w:rsidR="008D7872" w:rsidRPr="00AB2735">
        <w:rPr>
          <w:rFonts w:asciiTheme="minorHAnsi" w:hAnsiTheme="minorHAnsi" w:cstheme="minorHAnsi"/>
          <w:lang w:val="en-CA"/>
        </w:rPr>
        <w:t>Miramichi</w:t>
      </w:r>
      <w:proofErr w:type="spellEnd"/>
      <w:r w:rsidR="008D7872" w:rsidRPr="00AB2735">
        <w:rPr>
          <w:rFonts w:asciiTheme="minorHAnsi" w:hAnsiTheme="minorHAnsi" w:cstheme="minorHAnsi"/>
          <w:lang w:val="en-CA"/>
        </w:rPr>
        <w:t>.</w:t>
      </w:r>
      <w:r w:rsidRPr="00AB2735">
        <w:rPr>
          <w:rFonts w:asciiTheme="minorHAnsi" w:hAnsiTheme="minorHAnsi" w:cstheme="minorHAnsi"/>
          <w:lang w:val="en-CA"/>
        </w:rPr>
        <w:t xml:space="preserve"> The </w:t>
      </w:r>
      <w:r w:rsidR="008D7872" w:rsidRPr="00AB2735">
        <w:rPr>
          <w:rFonts w:asciiTheme="minorHAnsi" w:hAnsiTheme="minorHAnsi" w:cstheme="minorHAnsi"/>
          <w:lang w:val="en-CA"/>
        </w:rPr>
        <w:t xml:space="preserve">Guide </w:t>
      </w:r>
      <w:r w:rsidRPr="00AB2735">
        <w:rPr>
          <w:rFonts w:asciiTheme="minorHAnsi" w:hAnsiTheme="minorHAnsi" w:cstheme="minorHAnsi"/>
          <w:lang w:val="en-CA"/>
        </w:rPr>
        <w:t>session</w:t>
      </w:r>
      <w:r w:rsidR="00F522DF" w:rsidRPr="00AB2735">
        <w:rPr>
          <w:rFonts w:asciiTheme="minorHAnsi" w:hAnsiTheme="minorHAnsi" w:cstheme="minorHAnsi"/>
          <w:lang w:val="en-CA"/>
        </w:rPr>
        <w:t>s</w:t>
      </w:r>
      <w:r w:rsidRPr="00AB2735">
        <w:rPr>
          <w:rFonts w:asciiTheme="minorHAnsi" w:hAnsiTheme="minorHAnsi" w:cstheme="minorHAnsi"/>
          <w:lang w:val="en-CA"/>
        </w:rPr>
        <w:t xml:space="preserve"> </w:t>
      </w:r>
      <w:r w:rsidR="004A37E5" w:rsidRPr="00AB2735">
        <w:rPr>
          <w:rFonts w:asciiTheme="minorHAnsi" w:hAnsiTheme="minorHAnsi" w:cstheme="minorHAnsi"/>
          <w:lang w:val="en-CA"/>
        </w:rPr>
        <w:t xml:space="preserve">took place </w:t>
      </w:r>
      <w:r w:rsidR="008D7872" w:rsidRPr="00AB2735">
        <w:rPr>
          <w:rFonts w:asciiTheme="minorHAnsi" w:hAnsiTheme="minorHAnsi" w:cstheme="minorHAnsi"/>
          <w:lang w:val="en-CA"/>
        </w:rPr>
        <w:t>between September and</w:t>
      </w:r>
      <w:r w:rsidRPr="00AB2735">
        <w:rPr>
          <w:rFonts w:asciiTheme="minorHAnsi" w:hAnsiTheme="minorHAnsi" w:cstheme="minorHAnsi"/>
          <w:lang w:val="en-CA"/>
        </w:rPr>
        <w:t xml:space="preserve"> </w:t>
      </w:r>
      <w:r w:rsidR="004A37E5" w:rsidRPr="00AB2735">
        <w:rPr>
          <w:rFonts w:asciiTheme="minorHAnsi" w:hAnsiTheme="minorHAnsi" w:cstheme="minorHAnsi"/>
          <w:lang w:val="en-CA"/>
        </w:rPr>
        <w:t xml:space="preserve">December </w:t>
      </w:r>
      <w:r w:rsidR="008D7872" w:rsidRPr="00AB2735">
        <w:rPr>
          <w:rFonts w:asciiTheme="minorHAnsi" w:hAnsiTheme="minorHAnsi" w:cstheme="minorHAnsi"/>
          <w:lang w:val="en-CA"/>
        </w:rPr>
        <w:t>2019</w:t>
      </w:r>
      <w:r w:rsidR="004A37E5" w:rsidRPr="00AB2735">
        <w:rPr>
          <w:rFonts w:asciiTheme="minorHAnsi" w:hAnsiTheme="minorHAnsi" w:cstheme="minorHAnsi"/>
          <w:lang w:val="en-CA"/>
        </w:rPr>
        <w:t>.</w:t>
      </w:r>
      <w:r w:rsidR="008D7872" w:rsidRPr="00AB2735">
        <w:rPr>
          <w:rFonts w:asciiTheme="minorHAnsi" w:hAnsiTheme="minorHAnsi" w:cstheme="minorHAnsi"/>
          <w:lang w:val="en-CA"/>
        </w:rPr>
        <w:t xml:space="preserve"> This study was conducted on students in grades 7 and 8 with the aim of testing the affects of The Guide resource on a younger cohort of students from wh</w:t>
      </w:r>
      <w:r w:rsidR="00F522DF" w:rsidRPr="00AB2735">
        <w:rPr>
          <w:rFonts w:asciiTheme="minorHAnsi" w:hAnsiTheme="minorHAnsi" w:cstheme="minorHAnsi"/>
          <w:lang w:val="en-CA"/>
        </w:rPr>
        <w:t>o</w:t>
      </w:r>
      <w:r w:rsidR="008D7872" w:rsidRPr="00AB2735">
        <w:rPr>
          <w:rFonts w:asciiTheme="minorHAnsi" w:hAnsiTheme="minorHAnsi" w:cstheme="minorHAnsi"/>
          <w:lang w:val="en-CA"/>
        </w:rPr>
        <w:t xml:space="preserve"> the resource was </w:t>
      </w:r>
      <w:r w:rsidR="00F522DF" w:rsidRPr="00AB2735">
        <w:rPr>
          <w:rFonts w:asciiTheme="minorHAnsi" w:hAnsiTheme="minorHAnsi" w:cstheme="minorHAnsi"/>
          <w:lang w:val="en-CA"/>
        </w:rPr>
        <w:t xml:space="preserve">originally </w:t>
      </w:r>
      <w:r w:rsidR="008D7872" w:rsidRPr="00AB2735">
        <w:rPr>
          <w:rFonts w:asciiTheme="minorHAnsi" w:hAnsiTheme="minorHAnsi" w:cstheme="minorHAnsi"/>
          <w:lang w:val="en-CA"/>
        </w:rPr>
        <w:t>developed for.</w:t>
      </w:r>
    </w:p>
    <w:p w14:paraId="53A242CC" w14:textId="77777777" w:rsidR="001775C9" w:rsidRPr="00AB2735" w:rsidRDefault="001775C9" w:rsidP="001775C9">
      <w:pPr>
        <w:spacing w:line="360" w:lineRule="auto"/>
        <w:rPr>
          <w:rFonts w:asciiTheme="minorHAnsi" w:hAnsiTheme="minorHAnsi" w:cstheme="minorHAnsi"/>
          <w:color w:val="800080"/>
          <w:lang w:val="en-CA"/>
        </w:rPr>
      </w:pPr>
      <w:r w:rsidRPr="00AB2735">
        <w:rPr>
          <w:rFonts w:asciiTheme="minorHAnsi" w:hAnsiTheme="minorHAnsi" w:cstheme="minorHAnsi"/>
          <w:b/>
          <w:color w:val="800080"/>
          <w:lang w:val="en-CA"/>
        </w:rPr>
        <w:t>Participants</w:t>
      </w:r>
      <w:r w:rsidRPr="00AB2735">
        <w:rPr>
          <w:rFonts w:asciiTheme="minorHAnsi" w:hAnsiTheme="minorHAnsi" w:cstheme="minorHAnsi"/>
          <w:color w:val="800080"/>
          <w:lang w:val="en-CA"/>
        </w:rPr>
        <w:t xml:space="preserve"> </w:t>
      </w:r>
    </w:p>
    <w:p w14:paraId="12E97802" w14:textId="11EF3926" w:rsidR="00B07FFD" w:rsidRPr="00AB2735" w:rsidRDefault="00EF4880" w:rsidP="001775C9">
      <w:pPr>
        <w:spacing w:line="360" w:lineRule="auto"/>
        <w:ind w:firstLine="720"/>
        <w:rPr>
          <w:rFonts w:asciiTheme="minorHAnsi" w:hAnsiTheme="minorHAnsi" w:cstheme="minorHAnsi"/>
          <w:lang w:val="en-CA"/>
        </w:rPr>
      </w:pPr>
      <w:r w:rsidRPr="00AB2735">
        <w:rPr>
          <w:rFonts w:asciiTheme="minorHAnsi" w:hAnsiTheme="minorHAnsi" w:cstheme="minorHAnsi"/>
          <w:lang w:val="en-CA"/>
        </w:rPr>
        <w:t>Sixty-seven students</w:t>
      </w:r>
      <w:r w:rsidR="00B07FFD" w:rsidRPr="00AB2735">
        <w:rPr>
          <w:rFonts w:asciiTheme="minorHAnsi" w:hAnsiTheme="minorHAnsi" w:cstheme="minorHAnsi"/>
          <w:lang w:val="en-CA"/>
        </w:rPr>
        <w:t xml:space="preserve"> (</w:t>
      </w:r>
      <w:r w:rsidRPr="00AB2735">
        <w:rPr>
          <w:rFonts w:asciiTheme="minorHAnsi" w:hAnsiTheme="minorHAnsi" w:cstheme="minorHAnsi"/>
          <w:lang w:val="en-CA"/>
        </w:rPr>
        <w:t>28</w:t>
      </w:r>
      <w:r w:rsidR="00B07FFD" w:rsidRPr="00AB2735">
        <w:rPr>
          <w:rFonts w:asciiTheme="minorHAnsi" w:hAnsiTheme="minorHAnsi" w:cstheme="minorHAnsi"/>
          <w:lang w:val="en-CA"/>
        </w:rPr>
        <w:t xml:space="preserve"> males, </w:t>
      </w:r>
      <w:r w:rsidRPr="00AB2735">
        <w:rPr>
          <w:rFonts w:asciiTheme="minorHAnsi" w:hAnsiTheme="minorHAnsi" w:cstheme="minorHAnsi"/>
          <w:lang w:val="en-CA"/>
        </w:rPr>
        <w:t>41</w:t>
      </w:r>
      <w:r w:rsidR="00B07FFD" w:rsidRPr="00AB2735">
        <w:rPr>
          <w:rFonts w:asciiTheme="minorHAnsi" w:hAnsiTheme="minorHAnsi" w:cstheme="minorHAnsi"/>
          <w:lang w:val="en-CA"/>
        </w:rPr>
        <w:t xml:space="preserve"> females) </w:t>
      </w:r>
      <w:r w:rsidRPr="00AB2735">
        <w:rPr>
          <w:rFonts w:asciiTheme="minorHAnsi" w:hAnsiTheme="minorHAnsi" w:cstheme="minorHAnsi"/>
          <w:lang w:val="en-CA"/>
        </w:rPr>
        <w:t xml:space="preserve">in grades seven and eight </w:t>
      </w:r>
      <w:r w:rsidR="00B07FFD" w:rsidRPr="00AB2735">
        <w:rPr>
          <w:rFonts w:asciiTheme="minorHAnsi" w:hAnsiTheme="minorHAnsi" w:cstheme="minorHAnsi"/>
          <w:lang w:val="en-CA"/>
        </w:rPr>
        <w:t xml:space="preserve">participated in </w:t>
      </w:r>
      <w:r w:rsidRPr="00AB2735">
        <w:rPr>
          <w:rFonts w:asciiTheme="minorHAnsi" w:hAnsiTheme="minorHAnsi" w:cstheme="minorHAnsi"/>
          <w:lang w:val="en-CA"/>
        </w:rPr>
        <w:t>T</w:t>
      </w:r>
      <w:r w:rsidR="00B07FFD" w:rsidRPr="00AB2735">
        <w:rPr>
          <w:rFonts w:asciiTheme="minorHAnsi" w:hAnsiTheme="minorHAnsi" w:cstheme="minorHAnsi"/>
          <w:lang w:val="en-CA"/>
        </w:rPr>
        <w:t xml:space="preserve">he </w:t>
      </w:r>
      <w:r w:rsidRPr="00AB2735">
        <w:rPr>
          <w:rFonts w:asciiTheme="minorHAnsi" w:hAnsiTheme="minorHAnsi" w:cstheme="minorHAnsi"/>
          <w:lang w:val="en-CA"/>
        </w:rPr>
        <w:t>Guide p</w:t>
      </w:r>
      <w:r w:rsidR="00B07FFD" w:rsidRPr="00AB2735">
        <w:rPr>
          <w:rFonts w:asciiTheme="minorHAnsi" w:hAnsiTheme="minorHAnsi" w:cstheme="minorHAnsi"/>
          <w:lang w:val="en-CA"/>
        </w:rPr>
        <w:t xml:space="preserve">rogram. </w:t>
      </w:r>
      <w:r w:rsidRPr="00AB2735">
        <w:rPr>
          <w:rFonts w:asciiTheme="minorHAnsi" w:hAnsiTheme="minorHAnsi" w:cstheme="minorHAnsi"/>
          <w:lang w:val="en-CA"/>
        </w:rPr>
        <w:t xml:space="preserve">37 of these students were placed in the experimental group and 30 were in the control group. Of the total participants, </w:t>
      </w:r>
      <w:r w:rsidR="00F522DF" w:rsidRPr="00AB2735">
        <w:rPr>
          <w:rFonts w:asciiTheme="minorHAnsi" w:hAnsiTheme="minorHAnsi" w:cstheme="minorHAnsi"/>
          <w:lang w:val="en-CA"/>
        </w:rPr>
        <w:t xml:space="preserve">all </w:t>
      </w:r>
      <w:r w:rsidRPr="00AB2735">
        <w:rPr>
          <w:rFonts w:asciiTheme="minorHAnsi" w:hAnsiTheme="minorHAnsi" w:cstheme="minorHAnsi"/>
          <w:lang w:val="en-CA"/>
        </w:rPr>
        <w:t>67</w:t>
      </w:r>
      <w:r w:rsidR="00B07FFD" w:rsidRPr="00AB2735">
        <w:rPr>
          <w:rFonts w:asciiTheme="minorHAnsi" w:hAnsiTheme="minorHAnsi" w:cstheme="minorHAnsi"/>
          <w:lang w:val="en-CA"/>
        </w:rPr>
        <w:t xml:space="preserve"> completed both pre- and post-session</w:t>
      </w:r>
      <w:r w:rsidRPr="00AB2735">
        <w:rPr>
          <w:rFonts w:asciiTheme="minorHAnsi" w:hAnsiTheme="minorHAnsi" w:cstheme="minorHAnsi"/>
          <w:lang w:val="en-CA"/>
        </w:rPr>
        <w:t xml:space="preserve"> knowledge and attitudes</w:t>
      </w:r>
      <w:r w:rsidR="00B07FFD" w:rsidRPr="00AB2735">
        <w:rPr>
          <w:rFonts w:asciiTheme="minorHAnsi" w:hAnsiTheme="minorHAnsi" w:cstheme="minorHAnsi"/>
          <w:lang w:val="en-CA"/>
        </w:rPr>
        <w:t xml:space="preserve"> surveys</w:t>
      </w:r>
      <w:r w:rsidRPr="00AB2735">
        <w:rPr>
          <w:rFonts w:asciiTheme="minorHAnsi" w:hAnsiTheme="minorHAnsi" w:cstheme="minorHAnsi"/>
          <w:lang w:val="en-CA"/>
        </w:rPr>
        <w:t xml:space="preserve">, while 66 </w:t>
      </w:r>
      <w:r w:rsidR="00F522DF" w:rsidRPr="00AB2735">
        <w:rPr>
          <w:rFonts w:asciiTheme="minorHAnsi" w:hAnsiTheme="minorHAnsi" w:cstheme="minorHAnsi"/>
          <w:lang w:val="en-CA"/>
        </w:rPr>
        <w:t xml:space="preserve">fully </w:t>
      </w:r>
      <w:r w:rsidRPr="00AB2735">
        <w:rPr>
          <w:rFonts w:asciiTheme="minorHAnsi" w:hAnsiTheme="minorHAnsi" w:cstheme="minorHAnsi"/>
          <w:lang w:val="en-CA"/>
        </w:rPr>
        <w:t>completed both pre- and post-test help-seeking surveys</w:t>
      </w:r>
      <w:r w:rsidR="00B07FFD" w:rsidRPr="00AB2735">
        <w:rPr>
          <w:rFonts w:asciiTheme="minorHAnsi" w:hAnsiTheme="minorHAnsi" w:cstheme="minorHAnsi"/>
          <w:lang w:val="en-CA"/>
        </w:rPr>
        <w:t xml:space="preserve">. </w:t>
      </w:r>
      <w:r w:rsidRPr="00AB2735">
        <w:rPr>
          <w:rFonts w:asciiTheme="minorHAnsi" w:hAnsiTheme="minorHAnsi" w:cstheme="minorHAnsi"/>
          <w:lang w:val="en-CA"/>
        </w:rPr>
        <w:t>T</w:t>
      </w:r>
      <w:r w:rsidR="00F522DF" w:rsidRPr="00AB2735">
        <w:rPr>
          <w:rFonts w:asciiTheme="minorHAnsi" w:hAnsiTheme="minorHAnsi" w:cstheme="minorHAnsi"/>
          <w:lang w:val="en-CA"/>
        </w:rPr>
        <w:t>hese students were from t</w:t>
      </w:r>
      <w:r w:rsidRPr="00AB2735">
        <w:rPr>
          <w:rFonts w:asciiTheme="minorHAnsi" w:hAnsiTheme="minorHAnsi" w:cstheme="minorHAnsi"/>
          <w:lang w:val="en-CA"/>
        </w:rPr>
        <w:t>wo s</w:t>
      </w:r>
      <w:r w:rsidR="00B07FFD" w:rsidRPr="00AB2735">
        <w:rPr>
          <w:rFonts w:asciiTheme="minorHAnsi" w:hAnsiTheme="minorHAnsi" w:cstheme="minorHAnsi"/>
          <w:lang w:val="en-CA"/>
        </w:rPr>
        <w:t>chool</w:t>
      </w:r>
      <w:r w:rsidRPr="00AB2735">
        <w:rPr>
          <w:rFonts w:asciiTheme="minorHAnsi" w:hAnsiTheme="minorHAnsi" w:cstheme="minorHAnsi"/>
          <w:lang w:val="en-CA"/>
        </w:rPr>
        <w:t>s</w:t>
      </w:r>
      <w:r w:rsidR="00B07FFD" w:rsidRPr="00AB2735">
        <w:rPr>
          <w:rFonts w:asciiTheme="minorHAnsi" w:hAnsiTheme="minorHAnsi" w:cstheme="minorHAnsi"/>
          <w:lang w:val="en-CA"/>
        </w:rPr>
        <w:t xml:space="preserve"> </w:t>
      </w:r>
      <w:r w:rsidR="00F522DF" w:rsidRPr="00AB2735">
        <w:rPr>
          <w:rFonts w:asciiTheme="minorHAnsi" w:hAnsiTheme="minorHAnsi" w:cstheme="minorHAnsi"/>
          <w:lang w:val="en-CA"/>
        </w:rPr>
        <w:t>in</w:t>
      </w:r>
      <w:r w:rsidR="00B07FFD" w:rsidRPr="00AB2735">
        <w:rPr>
          <w:rFonts w:asciiTheme="minorHAnsi" w:hAnsiTheme="minorHAnsi" w:cstheme="minorHAnsi"/>
          <w:lang w:val="en-CA"/>
        </w:rPr>
        <w:t xml:space="preserve"> the</w:t>
      </w:r>
      <w:r w:rsidRPr="00AB2735">
        <w:rPr>
          <w:rFonts w:asciiTheme="minorHAnsi" w:hAnsiTheme="minorHAnsi" w:cstheme="minorHAnsi"/>
          <w:lang w:val="en-CA"/>
        </w:rPr>
        <w:t xml:space="preserve"> Anglophone</w:t>
      </w:r>
      <w:r w:rsidR="00B07FFD" w:rsidRPr="00AB2735">
        <w:rPr>
          <w:rFonts w:asciiTheme="minorHAnsi" w:hAnsiTheme="minorHAnsi" w:cstheme="minorHAnsi"/>
          <w:lang w:val="en-CA"/>
        </w:rPr>
        <w:t xml:space="preserve"> North </w:t>
      </w:r>
      <w:r w:rsidRPr="00AB2735">
        <w:rPr>
          <w:rFonts w:asciiTheme="minorHAnsi" w:hAnsiTheme="minorHAnsi" w:cstheme="minorHAnsi"/>
          <w:lang w:val="en-CA"/>
        </w:rPr>
        <w:t>School D</w:t>
      </w:r>
      <w:r w:rsidR="00B07FFD" w:rsidRPr="00AB2735">
        <w:rPr>
          <w:rFonts w:asciiTheme="minorHAnsi" w:hAnsiTheme="minorHAnsi" w:cstheme="minorHAnsi"/>
          <w:lang w:val="en-CA"/>
        </w:rPr>
        <w:t xml:space="preserve">istrict </w:t>
      </w:r>
      <w:r w:rsidR="00620288" w:rsidRPr="00AB2735">
        <w:rPr>
          <w:rFonts w:asciiTheme="minorHAnsi" w:hAnsiTheme="minorHAnsi" w:cstheme="minorHAnsi"/>
          <w:lang w:val="en-CA"/>
        </w:rPr>
        <w:t>[</w:t>
      </w:r>
      <w:r w:rsidRPr="00AB2735">
        <w:rPr>
          <w:rFonts w:asciiTheme="minorHAnsi" w:hAnsiTheme="minorHAnsi" w:cstheme="minorHAnsi"/>
          <w:lang w:val="en-CA"/>
        </w:rPr>
        <w:t>Eleanor W. Graham middle school</w:t>
      </w:r>
      <w:r w:rsidR="00620288" w:rsidRPr="00AB2735">
        <w:rPr>
          <w:rFonts w:asciiTheme="minorHAnsi" w:hAnsiTheme="minorHAnsi" w:cstheme="minorHAnsi"/>
          <w:lang w:val="en-CA"/>
        </w:rPr>
        <w:t xml:space="preserve"> (experimental group)</w:t>
      </w:r>
      <w:r w:rsidRPr="00AB2735">
        <w:rPr>
          <w:rFonts w:asciiTheme="minorHAnsi" w:hAnsiTheme="minorHAnsi" w:cstheme="minorHAnsi"/>
          <w:lang w:val="en-CA"/>
        </w:rPr>
        <w:t xml:space="preserve">, located in </w:t>
      </w:r>
      <w:proofErr w:type="spellStart"/>
      <w:r w:rsidRPr="00AB2735">
        <w:rPr>
          <w:rFonts w:asciiTheme="minorHAnsi" w:hAnsiTheme="minorHAnsi" w:cstheme="minorHAnsi"/>
          <w:lang w:val="en-CA"/>
        </w:rPr>
        <w:t>Rexton</w:t>
      </w:r>
      <w:proofErr w:type="spellEnd"/>
      <w:r w:rsidRPr="00AB2735">
        <w:rPr>
          <w:rFonts w:asciiTheme="minorHAnsi" w:hAnsiTheme="minorHAnsi" w:cstheme="minorHAnsi"/>
          <w:lang w:val="en-CA"/>
        </w:rPr>
        <w:t xml:space="preserve">, and South </w:t>
      </w:r>
      <w:proofErr w:type="spellStart"/>
      <w:r w:rsidRPr="00AB2735">
        <w:rPr>
          <w:rFonts w:asciiTheme="minorHAnsi" w:hAnsiTheme="minorHAnsi" w:cstheme="minorHAnsi"/>
          <w:lang w:val="en-CA"/>
        </w:rPr>
        <w:t>Esk</w:t>
      </w:r>
      <w:proofErr w:type="spellEnd"/>
      <w:r w:rsidRPr="00AB2735">
        <w:rPr>
          <w:rFonts w:asciiTheme="minorHAnsi" w:hAnsiTheme="minorHAnsi" w:cstheme="minorHAnsi"/>
          <w:lang w:val="en-CA"/>
        </w:rPr>
        <w:t xml:space="preserve"> Regional Middle School</w:t>
      </w:r>
      <w:r w:rsidR="00620288" w:rsidRPr="00AB2735">
        <w:rPr>
          <w:rFonts w:asciiTheme="minorHAnsi" w:hAnsiTheme="minorHAnsi" w:cstheme="minorHAnsi"/>
          <w:lang w:val="en-CA"/>
        </w:rPr>
        <w:t xml:space="preserve"> (control group)</w:t>
      </w:r>
      <w:r w:rsidR="00F522DF" w:rsidRPr="00AB2735">
        <w:rPr>
          <w:rFonts w:asciiTheme="minorHAnsi" w:hAnsiTheme="minorHAnsi" w:cstheme="minorHAnsi"/>
          <w:lang w:val="en-CA"/>
        </w:rPr>
        <w:t>, located in Sunny Corner</w:t>
      </w:r>
      <w:r w:rsidR="00620288" w:rsidRPr="00AB2735">
        <w:rPr>
          <w:rFonts w:asciiTheme="minorHAnsi" w:hAnsiTheme="minorHAnsi" w:cstheme="minorHAnsi"/>
          <w:lang w:val="en-CA"/>
        </w:rPr>
        <w:t>]</w:t>
      </w:r>
      <w:r w:rsidR="00F522DF" w:rsidRPr="00AB2735">
        <w:rPr>
          <w:rFonts w:asciiTheme="minorHAnsi" w:hAnsiTheme="minorHAnsi" w:cstheme="minorHAnsi"/>
          <w:lang w:val="en-CA"/>
        </w:rPr>
        <w:t xml:space="preserve"> in New Brunswick</w:t>
      </w:r>
      <w:r w:rsidR="00B07FFD" w:rsidRPr="00AB2735">
        <w:rPr>
          <w:rFonts w:asciiTheme="minorHAnsi" w:hAnsiTheme="minorHAnsi" w:cstheme="minorHAnsi"/>
          <w:lang w:val="en-CA"/>
        </w:rPr>
        <w:t>.</w:t>
      </w:r>
      <w:r w:rsidR="00247ADB" w:rsidRPr="00AB2735">
        <w:rPr>
          <w:rFonts w:asciiTheme="minorHAnsi" w:hAnsiTheme="minorHAnsi" w:cstheme="minorHAnsi"/>
          <w:lang w:val="en-CA"/>
        </w:rPr>
        <w:t xml:space="preserve"> Both schools volunteered to participate in the study. </w:t>
      </w:r>
    </w:p>
    <w:p w14:paraId="21ADADC9" w14:textId="77777777" w:rsidR="001775C9" w:rsidRPr="00AB2735" w:rsidRDefault="001775C9" w:rsidP="001775C9">
      <w:pPr>
        <w:spacing w:line="360" w:lineRule="auto"/>
        <w:rPr>
          <w:rFonts w:asciiTheme="minorHAnsi" w:hAnsiTheme="minorHAnsi" w:cstheme="minorHAnsi"/>
          <w:b/>
          <w:color w:val="800080"/>
          <w:lang w:val="en-CA"/>
        </w:rPr>
      </w:pPr>
      <w:r w:rsidRPr="00AB2735">
        <w:rPr>
          <w:rFonts w:asciiTheme="minorHAnsi" w:hAnsiTheme="minorHAnsi" w:cstheme="minorHAnsi"/>
          <w:b/>
          <w:color w:val="800080"/>
          <w:lang w:val="en-CA"/>
        </w:rPr>
        <w:t>Procedure</w:t>
      </w:r>
    </w:p>
    <w:p w14:paraId="1EF0AF52" w14:textId="6BB97C00" w:rsidR="001775C9" w:rsidRPr="00AB2735" w:rsidRDefault="00760BFA" w:rsidP="001775C9">
      <w:pPr>
        <w:spacing w:line="360" w:lineRule="auto"/>
        <w:ind w:firstLine="720"/>
        <w:rPr>
          <w:rFonts w:asciiTheme="minorHAnsi" w:hAnsiTheme="minorHAnsi" w:cstheme="minorHAnsi"/>
          <w:lang w:val="en-CA"/>
        </w:rPr>
      </w:pPr>
      <w:r w:rsidRPr="00AB2735">
        <w:rPr>
          <w:rFonts w:asciiTheme="minorHAnsi" w:hAnsiTheme="minorHAnsi" w:cstheme="minorHAnsi"/>
          <w:lang w:val="en-CA"/>
        </w:rPr>
        <w:t>P</w:t>
      </w:r>
      <w:r w:rsidR="001775C9" w:rsidRPr="00AB2735">
        <w:rPr>
          <w:rFonts w:asciiTheme="minorHAnsi" w:hAnsiTheme="minorHAnsi" w:cstheme="minorHAnsi"/>
          <w:lang w:val="en-CA"/>
        </w:rPr>
        <w:t xml:space="preserve">articipants completed </w:t>
      </w:r>
      <w:r w:rsidR="00F522DF" w:rsidRPr="00AB2735">
        <w:rPr>
          <w:rFonts w:asciiTheme="minorHAnsi" w:hAnsiTheme="minorHAnsi" w:cstheme="minorHAnsi"/>
          <w:lang w:val="en-CA"/>
        </w:rPr>
        <w:t>anonymous</w:t>
      </w:r>
      <w:r w:rsidRPr="00AB2735">
        <w:rPr>
          <w:rFonts w:asciiTheme="minorHAnsi" w:hAnsiTheme="minorHAnsi" w:cstheme="minorHAnsi"/>
          <w:lang w:val="en-CA"/>
        </w:rPr>
        <w:t xml:space="preserve"> survey</w:t>
      </w:r>
      <w:r w:rsidR="00F522DF" w:rsidRPr="00AB2735">
        <w:rPr>
          <w:rFonts w:asciiTheme="minorHAnsi" w:hAnsiTheme="minorHAnsi" w:cstheme="minorHAnsi"/>
          <w:lang w:val="en-CA"/>
        </w:rPr>
        <w:t>s comprised of three sections</w:t>
      </w:r>
      <w:r w:rsidR="00D23583" w:rsidRPr="00AB2735">
        <w:rPr>
          <w:rFonts w:asciiTheme="minorHAnsi" w:hAnsiTheme="minorHAnsi" w:cstheme="minorHAnsi"/>
          <w:lang w:val="en-CA"/>
        </w:rPr>
        <w:t xml:space="preserve"> before and </w:t>
      </w:r>
      <w:r w:rsidRPr="00AB2735">
        <w:rPr>
          <w:rFonts w:asciiTheme="minorHAnsi" w:hAnsiTheme="minorHAnsi" w:cstheme="minorHAnsi"/>
          <w:lang w:val="en-CA"/>
        </w:rPr>
        <w:t xml:space="preserve">directly following the session: </w:t>
      </w:r>
      <w:r w:rsidR="001775C9" w:rsidRPr="00AB2735">
        <w:rPr>
          <w:rFonts w:asciiTheme="minorHAnsi" w:hAnsiTheme="minorHAnsi" w:cstheme="minorHAnsi"/>
          <w:lang w:val="en-CA"/>
        </w:rPr>
        <w:t>a mental health knowledge</w:t>
      </w:r>
      <w:r w:rsidRPr="00AB2735">
        <w:rPr>
          <w:rFonts w:asciiTheme="minorHAnsi" w:hAnsiTheme="minorHAnsi" w:cstheme="minorHAnsi"/>
          <w:lang w:val="en-CA"/>
        </w:rPr>
        <w:t xml:space="preserve"> survey, an</w:t>
      </w:r>
      <w:r w:rsidR="001775C9" w:rsidRPr="00AB2735">
        <w:rPr>
          <w:rFonts w:asciiTheme="minorHAnsi" w:hAnsiTheme="minorHAnsi" w:cstheme="minorHAnsi"/>
          <w:lang w:val="en-CA"/>
        </w:rPr>
        <w:t xml:space="preserve"> attitude toward </w:t>
      </w:r>
      <w:r w:rsidRPr="00AB2735">
        <w:rPr>
          <w:rFonts w:asciiTheme="minorHAnsi" w:hAnsiTheme="minorHAnsi" w:cstheme="minorHAnsi"/>
          <w:lang w:val="en-CA"/>
        </w:rPr>
        <w:t>mental illness survey</w:t>
      </w:r>
      <w:r w:rsidR="00AF201F" w:rsidRPr="00AB2735">
        <w:rPr>
          <w:rFonts w:asciiTheme="minorHAnsi" w:hAnsiTheme="minorHAnsi" w:cstheme="minorHAnsi"/>
          <w:lang w:val="en-CA"/>
        </w:rPr>
        <w:t xml:space="preserve"> (stigma)</w:t>
      </w:r>
      <w:r w:rsidR="00F522DF" w:rsidRPr="00AB2735">
        <w:rPr>
          <w:rFonts w:asciiTheme="minorHAnsi" w:hAnsiTheme="minorHAnsi" w:cstheme="minorHAnsi"/>
          <w:lang w:val="en-CA"/>
        </w:rPr>
        <w:t>, and a help-seeking attitudes survey</w:t>
      </w:r>
      <w:r w:rsidR="001775C9" w:rsidRPr="00AB2735">
        <w:rPr>
          <w:rFonts w:asciiTheme="minorHAnsi" w:hAnsiTheme="minorHAnsi" w:cstheme="minorHAnsi"/>
          <w:lang w:val="en-CA"/>
        </w:rPr>
        <w:t xml:space="preserve">. Mental health knowledge was measured with 30 true-false questions, and </w:t>
      </w:r>
      <w:r w:rsidR="00F522DF" w:rsidRPr="00AB2735">
        <w:rPr>
          <w:rFonts w:asciiTheme="minorHAnsi" w:hAnsiTheme="minorHAnsi" w:cstheme="minorHAnsi"/>
          <w:lang w:val="en-CA"/>
        </w:rPr>
        <w:t>students</w:t>
      </w:r>
      <w:r w:rsidR="001775C9" w:rsidRPr="00AB2735">
        <w:rPr>
          <w:rFonts w:asciiTheme="minorHAnsi" w:hAnsiTheme="minorHAnsi" w:cstheme="minorHAnsi"/>
          <w:lang w:val="en-CA"/>
        </w:rPr>
        <w:t xml:space="preserve"> were asked to choose either ‘true’, false’ or ‘do not know’. Each correct answer received one point for a</w:t>
      </w:r>
      <w:r w:rsidR="00333100" w:rsidRPr="00AB2735">
        <w:rPr>
          <w:rFonts w:asciiTheme="minorHAnsi" w:hAnsiTheme="minorHAnsi" w:cstheme="minorHAnsi"/>
          <w:lang w:val="en-CA"/>
        </w:rPr>
        <w:t xml:space="preserve"> maximum</w:t>
      </w:r>
      <w:r w:rsidR="001775C9" w:rsidRPr="00AB2735">
        <w:rPr>
          <w:rFonts w:asciiTheme="minorHAnsi" w:hAnsiTheme="minorHAnsi" w:cstheme="minorHAnsi"/>
          <w:lang w:val="en-CA"/>
        </w:rPr>
        <w:t xml:space="preserve"> total score of 30. </w:t>
      </w:r>
      <w:r w:rsidRPr="00AB2735">
        <w:rPr>
          <w:rFonts w:asciiTheme="minorHAnsi" w:hAnsiTheme="minorHAnsi" w:cstheme="minorHAnsi"/>
          <w:lang w:val="en-CA"/>
        </w:rPr>
        <w:t xml:space="preserve">To reduce false-correct results, </w:t>
      </w:r>
      <w:r w:rsidR="00F522DF" w:rsidRPr="00AB2735">
        <w:rPr>
          <w:rFonts w:asciiTheme="minorHAnsi" w:hAnsiTheme="minorHAnsi" w:cstheme="minorHAnsi"/>
          <w:lang w:val="en-CA"/>
        </w:rPr>
        <w:t>students</w:t>
      </w:r>
      <w:r w:rsidR="001775C9" w:rsidRPr="00AB2735">
        <w:rPr>
          <w:rFonts w:asciiTheme="minorHAnsi" w:hAnsiTheme="minorHAnsi" w:cstheme="minorHAnsi"/>
          <w:lang w:val="en-CA"/>
        </w:rPr>
        <w:t xml:space="preserve"> were encouraged to choose ‘do not know’</w:t>
      </w:r>
      <w:r w:rsidRPr="00AB2735">
        <w:rPr>
          <w:rFonts w:asciiTheme="minorHAnsi" w:hAnsiTheme="minorHAnsi" w:cstheme="minorHAnsi"/>
          <w:lang w:val="en-CA"/>
        </w:rPr>
        <w:t xml:space="preserve"> rather than guessing at unknown questions</w:t>
      </w:r>
      <w:r w:rsidR="001775C9" w:rsidRPr="00AB2735">
        <w:rPr>
          <w:rFonts w:asciiTheme="minorHAnsi" w:hAnsiTheme="minorHAnsi" w:cstheme="minorHAnsi"/>
          <w:lang w:val="en-CA"/>
        </w:rPr>
        <w:t xml:space="preserve">, and ’do not know’ choices </w:t>
      </w:r>
      <w:r w:rsidR="00946DAE" w:rsidRPr="00AB2735">
        <w:rPr>
          <w:rFonts w:asciiTheme="minorHAnsi" w:hAnsiTheme="minorHAnsi" w:cstheme="minorHAnsi"/>
          <w:lang w:val="en-CA"/>
        </w:rPr>
        <w:t>were</w:t>
      </w:r>
      <w:r w:rsidR="001775C9" w:rsidRPr="00AB2735">
        <w:rPr>
          <w:rFonts w:asciiTheme="minorHAnsi" w:hAnsiTheme="minorHAnsi" w:cstheme="minorHAnsi"/>
          <w:lang w:val="en-CA"/>
        </w:rPr>
        <w:t xml:space="preserve"> scored as incorrect.</w:t>
      </w:r>
    </w:p>
    <w:p w14:paraId="100A1DF1" w14:textId="3EFDE9AC" w:rsidR="00C713BD" w:rsidRPr="00AB2735" w:rsidRDefault="001775C9" w:rsidP="001775C9">
      <w:pPr>
        <w:spacing w:line="360" w:lineRule="auto"/>
        <w:ind w:firstLine="720"/>
        <w:rPr>
          <w:rFonts w:asciiTheme="minorHAnsi" w:hAnsiTheme="minorHAnsi" w:cstheme="minorHAnsi"/>
          <w:lang w:val="en-CA"/>
        </w:rPr>
      </w:pPr>
      <w:r w:rsidRPr="00AB2735">
        <w:rPr>
          <w:rFonts w:asciiTheme="minorHAnsi" w:hAnsiTheme="minorHAnsi" w:cstheme="minorHAnsi"/>
          <w:lang w:val="en-CA"/>
        </w:rPr>
        <w:t>Twelv</w:t>
      </w:r>
      <w:r w:rsidR="00760BFA" w:rsidRPr="00AB2735">
        <w:rPr>
          <w:rFonts w:asciiTheme="minorHAnsi" w:hAnsiTheme="minorHAnsi" w:cstheme="minorHAnsi"/>
          <w:lang w:val="en-CA"/>
        </w:rPr>
        <w:t xml:space="preserve">e 7-point Likert scale questions </w:t>
      </w:r>
      <w:r w:rsidRPr="00AB2735">
        <w:rPr>
          <w:rFonts w:asciiTheme="minorHAnsi" w:hAnsiTheme="minorHAnsi" w:cstheme="minorHAnsi"/>
          <w:lang w:val="en-CA"/>
        </w:rPr>
        <w:t>were included to assess</w:t>
      </w:r>
      <w:r w:rsidR="00333100" w:rsidRPr="00AB2735">
        <w:rPr>
          <w:rFonts w:asciiTheme="minorHAnsi" w:hAnsiTheme="minorHAnsi" w:cstheme="minorHAnsi"/>
          <w:lang w:val="en-CA"/>
        </w:rPr>
        <w:t xml:space="preserve"> attitudes toward</w:t>
      </w:r>
      <w:r w:rsidRPr="00AB2735">
        <w:rPr>
          <w:rFonts w:asciiTheme="minorHAnsi" w:hAnsiTheme="minorHAnsi" w:cstheme="minorHAnsi"/>
          <w:lang w:val="en-CA"/>
        </w:rPr>
        <w:t xml:space="preserve"> mental illness. </w:t>
      </w:r>
      <w:r w:rsidR="00124DBB" w:rsidRPr="00AB2735">
        <w:rPr>
          <w:rFonts w:asciiTheme="minorHAnsi" w:hAnsiTheme="minorHAnsi" w:cstheme="minorHAnsi"/>
          <w:lang w:val="en-CA"/>
        </w:rPr>
        <w:t>Answer points</w:t>
      </w:r>
      <w:r w:rsidR="00760BFA" w:rsidRPr="00AB2735">
        <w:rPr>
          <w:rFonts w:asciiTheme="minorHAnsi" w:hAnsiTheme="minorHAnsi" w:cstheme="minorHAnsi"/>
          <w:lang w:val="en-CA"/>
        </w:rPr>
        <w:t xml:space="preserve"> ranged from ‘Strongly Agree’ to ‘Strongly Disagree’ </w:t>
      </w:r>
      <w:r w:rsidR="00124DBB" w:rsidRPr="00AB2735">
        <w:rPr>
          <w:rFonts w:asciiTheme="minorHAnsi" w:hAnsiTheme="minorHAnsi" w:cstheme="minorHAnsi"/>
          <w:lang w:val="en-CA"/>
        </w:rPr>
        <w:t>for</w:t>
      </w:r>
      <w:r w:rsidR="00760BFA" w:rsidRPr="00AB2735">
        <w:rPr>
          <w:rFonts w:asciiTheme="minorHAnsi" w:hAnsiTheme="minorHAnsi" w:cstheme="minorHAnsi"/>
          <w:lang w:val="en-CA"/>
        </w:rPr>
        <w:t xml:space="preserve"> a </w:t>
      </w:r>
      <w:r w:rsidRPr="00AB2735">
        <w:rPr>
          <w:rFonts w:asciiTheme="minorHAnsi" w:hAnsiTheme="minorHAnsi" w:cstheme="minorHAnsi"/>
          <w:lang w:val="en-CA"/>
        </w:rPr>
        <w:t>maximum total score of 84 points</w:t>
      </w:r>
      <w:r w:rsidR="00124DBB" w:rsidRPr="00AB2735">
        <w:rPr>
          <w:rFonts w:asciiTheme="minorHAnsi" w:hAnsiTheme="minorHAnsi" w:cstheme="minorHAnsi"/>
          <w:lang w:val="en-CA"/>
        </w:rPr>
        <w:t xml:space="preserve"> with h</w:t>
      </w:r>
      <w:r w:rsidRPr="00AB2735">
        <w:rPr>
          <w:rFonts w:asciiTheme="minorHAnsi" w:hAnsiTheme="minorHAnsi" w:cstheme="minorHAnsi"/>
          <w:lang w:val="en-CA"/>
        </w:rPr>
        <w:t>igher scores reflect</w:t>
      </w:r>
      <w:r w:rsidR="00124DBB" w:rsidRPr="00AB2735">
        <w:rPr>
          <w:rFonts w:asciiTheme="minorHAnsi" w:hAnsiTheme="minorHAnsi" w:cstheme="minorHAnsi"/>
          <w:lang w:val="en-CA"/>
        </w:rPr>
        <w:t>ing</w:t>
      </w:r>
      <w:r w:rsidRPr="00AB2735">
        <w:rPr>
          <w:rFonts w:asciiTheme="minorHAnsi" w:hAnsiTheme="minorHAnsi" w:cstheme="minorHAnsi"/>
          <w:lang w:val="en-CA"/>
        </w:rPr>
        <w:t xml:space="preserve"> positive attitudes toward mental illness. </w:t>
      </w:r>
      <w:r w:rsidR="00C713BD" w:rsidRPr="00AB2735">
        <w:rPr>
          <w:rFonts w:asciiTheme="minorHAnsi" w:hAnsiTheme="minorHAnsi" w:cstheme="minorHAnsi"/>
          <w:lang w:val="en-CA"/>
        </w:rPr>
        <w:lastRenderedPageBreak/>
        <w:t>Additionally, five 7-point Likert scale questions were included to assess students’ attitudes toward seeking help for mental health concerns. Answer points ranged from ‘Strongly Agree’ to ‘Strongly Disagree’ for a maximum total score of 35 points with higher scores reflecting more positive attitudes toward seeking help for mental health issues or mental illness.</w:t>
      </w:r>
    </w:p>
    <w:p w14:paraId="36300F03" w14:textId="35E53F9F" w:rsidR="00D23583" w:rsidRPr="00AB2735" w:rsidRDefault="001775C9" w:rsidP="00B8762E">
      <w:pPr>
        <w:spacing w:line="360" w:lineRule="auto"/>
        <w:ind w:firstLine="720"/>
        <w:rPr>
          <w:rFonts w:asciiTheme="minorHAnsi" w:hAnsiTheme="minorHAnsi" w:cstheme="minorHAnsi"/>
          <w:lang w:val="en-CA"/>
        </w:rPr>
      </w:pPr>
      <w:r w:rsidRPr="00AB2735">
        <w:rPr>
          <w:rFonts w:asciiTheme="minorHAnsi" w:hAnsiTheme="minorHAnsi" w:cstheme="minorHAnsi"/>
          <w:lang w:val="en-CA"/>
        </w:rPr>
        <w:t>Completed survey</w:t>
      </w:r>
      <w:r w:rsidR="00C713BD" w:rsidRPr="00AB2735">
        <w:rPr>
          <w:rFonts w:asciiTheme="minorHAnsi" w:hAnsiTheme="minorHAnsi" w:cstheme="minorHAnsi"/>
          <w:lang w:val="en-CA"/>
        </w:rPr>
        <w:t xml:space="preserve"> responses</w:t>
      </w:r>
      <w:r w:rsidRPr="00AB2735">
        <w:rPr>
          <w:rFonts w:asciiTheme="minorHAnsi" w:hAnsiTheme="minorHAnsi" w:cstheme="minorHAnsi"/>
          <w:lang w:val="en-CA"/>
        </w:rPr>
        <w:t xml:space="preserve"> were entered into a secure database by a researcher blind to participant identities and naïve to the workshop materials and delivery. To assure</w:t>
      </w:r>
      <w:r w:rsidR="00C713BD" w:rsidRPr="00AB2735">
        <w:rPr>
          <w:rFonts w:asciiTheme="minorHAnsi" w:hAnsiTheme="minorHAnsi" w:cstheme="minorHAnsi"/>
          <w:lang w:val="en-CA"/>
        </w:rPr>
        <w:t xml:space="preserve"> </w:t>
      </w:r>
      <w:r w:rsidRPr="00AB2735">
        <w:rPr>
          <w:rFonts w:asciiTheme="minorHAnsi" w:hAnsiTheme="minorHAnsi" w:cstheme="minorHAnsi"/>
          <w:lang w:val="en-CA"/>
        </w:rPr>
        <w:t xml:space="preserve">anonymity, participants were asked to not provide any personal identifying </w:t>
      </w:r>
      <w:proofErr w:type="gramStart"/>
      <w:r w:rsidRPr="00AB2735">
        <w:rPr>
          <w:rFonts w:asciiTheme="minorHAnsi" w:hAnsiTheme="minorHAnsi" w:cstheme="minorHAnsi"/>
          <w:lang w:val="en-CA"/>
        </w:rPr>
        <w:t>information</w:t>
      </w:r>
      <w:r w:rsidR="00760BFA" w:rsidRPr="00AB2735">
        <w:rPr>
          <w:rFonts w:asciiTheme="minorHAnsi" w:hAnsiTheme="minorHAnsi" w:cstheme="minorHAnsi"/>
          <w:lang w:val="en-CA"/>
        </w:rPr>
        <w:t>, and</w:t>
      </w:r>
      <w:proofErr w:type="gramEnd"/>
      <w:r w:rsidR="00760BFA" w:rsidRPr="00AB2735">
        <w:rPr>
          <w:rFonts w:asciiTheme="minorHAnsi" w:hAnsiTheme="minorHAnsi" w:cstheme="minorHAnsi"/>
          <w:lang w:val="en-CA"/>
        </w:rPr>
        <w:t xml:space="preserve"> were asked</w:t>
      </w:r>
      <w:r w:rsidRPr="00AB2735">
        <w:rPr>
          <w:rFonts w:asciiTheme="minorHAnsi" w:hAnsiTheme="minorHAnsi" w:cstheme="minorHAnsi"/>
          <w:lang w:val="en-CA"/>
        </w:rPr>
        <w:t xml:space="preserve"> anonymous linking questions </w:t>
      </w:r>
      <w:r w:rsidR="00760BFA" w:rsidRPr="00AB2735">
        <w:rPr>
          <w:rFonts w:asciiTheme="minorHAnsi" w:hAnsiTheme="minorHAnsi" w:cstheme="minorHAnsi"/>
          <w:lang w:val="en-CA"/>
        </w:rPr>
        <w:t>to match pre- and post-session data. Linking questions</w:t>
      </w:r>
      <w:r w:rsidRPr="00AB2735">
        <w:rPr>
          <w:rFonts w:asciiTheme="minorHAnsi" w:hAnsiTheme="minorHAnsi" w:cstheme="minorHAnsi"/>
          <w:lang w:val="en-CA"/>
        </w:rPr>
        <w:t xml:space="preserve"> includ</w:t>
      </w:r>
      <w:r w:rsidR="00760BFA" w:rsidRPr="00AB2735">
        <w:rPr>
          <w:rFonts w:asciiTheme="minorHAnsi" w:hAnsiTheme="minorHAnsi" w:cstheme="minorHAnsi"/>
          <w:lang w:val="en-CA"/>
        </w:rPr>
        <w:t>ed</w:t>
      </w:r>
      <w:r w:rsidRPr="00AB2735">
        <w:rPr>
          <w:rFonts w:asciiTheme="minorHAnsi" w:hAnsiTheme="minorHAnsi" w:cstheme="minorHAnsi"/>
          <w:lang w:val="en-CA"/>
        </w:rPr>
        <w:t xml:space="preserve"> participants’ birth month, </w:t>
      </w:r>
      <w:r w:rsidR="00B8762E" w:rsidRPr="00AB2735">
        <w:rPr>
          <w:rFonts w:asciiTheme="minorHAnsi" w:hAnsiTheme="minorHAnsi" w:cstheme="minorHAnsi"/>
          <w:lang w:val="en-CA"/>
        </w:rPr>
        <w:t>first two letters of their first name</w:t>
      </w:r>
      <w:r w:rsidR="00333100" w:rsidRPr="00AB2735">
        <w:rPr>
          <w:rFonts w:asciiTheme="minorHAnsi" w:hAnsiTheme="minorHAnsi" w:cstheme="minorHAnsi"/>
          <w:lang w:val="en-CA"/>
        </w:rPr>
        <w:t>, the last two digits</w:t>
      </w:r>
      <w:r w:rsidR="002809A1" w:rsidRPr="00AB2735">
        <w:rPr>
          <w:rFonts w:asciiTheme="minorHAnsi" w:hAnsiTheme="minorHAnsi" w:cstheme="minorHAnsi"/>
          <w:lang w:val="en-CA"/>
        </w:rPr>
        <w:t xml:space="preserve"> of the participants’ phone num</w:t>
      </w:r>
      <w:r w:rsidR="00333100" w:rsidRPr="00AB2735">
        <w:rPr>
          <w:rFonts w:asciiTheme="minorHAnsi" w:hAnsiTheme="minorHAnsi" w:cstheme="minorHAnsi"/>
          <w:lang w:val="en-CA"/>
        </w:rPr>
        <w:t>b</w:t>
      </w:r>
      <w:r w:rsidR="002809A1" w:rsidRPr="00AB2735">
        <w:rPr>
          <w:rFonts w:asciiTheme="minorHAnsi" w:hAnsiTheme="minorHAnsi" w:cstheme="minorHAnsi"/>
          <w:lang w:val="en-CA"/>
        </w:rPr>
        <w:t>e</w:t>
      </w:r>
      <w:r w:rsidR="00333100" w:rsidRPr="00AB2735">
        <w:rPr>
          <w:rFonts w:asciiTheme="minorHAnsi" w:hAnsiTheme="minorHAnsi" w:cstheme="minorHAnsi"/>
          <w:lang w:val="en-CA"/>
        </w:rPr>
        <w:t>rs</w:t>
      </w:r>
      <w:r w:rsidR="00B8762E" w:rsidRPr="00AB2735">
        <w:rPr>
          <w:rFonts w:asciiTheme="minorHAnsi" w:hAnsiTheme="minorHAnsi" w:cstheme="minorHAnsi"/>
          <w:lang w:val="en-CA"/>
        </w:rPr>
        <w:t>, and the last three letters of their birth city</w:t>
      </w:r>
      <w:r w:rsidRPr="00AB2735">
        <w:rPr>
          <w:rFonts w:asciiTheme="minorHAnsi" w:hAnsiTheme="minorHAnsi" w:cstheme="minorHAnsi"/>
          <w:lang w:val="en-CA"/>
        </w:rPr>
        <w:t>.</w:t>
      </w:r>
      <w:r w:rsidR="00B8762E" w:rsidRPr="00AB2735">
        <w:rPr>
          <w:rFonts w:asciiTheme="minorHAnsi" w:hAnsiTheme="minorHAnsi" w:cstheme="minorHAnsi"/>
          <w:lang w:val="en-CA"/>
        </w:rPr>
        <w:t xml:space="preserve"> </w:t>
      </w:r>
      <w:r w:rsidR="00D23583" w:rsidRPr="00AB2735">
        <w:rPr>
          <w:rFonts w:asciiTheme="minorHAnsi" w:hAnsiTheme="minorHAnsi" w:cstheme="minorHAnsi"/>
          <w:lang w:val="en-CA"/>
        </w:rPr>
        <w:t xml:space="preserve">Follow-up surveys were </w:t>
      </w:r>
      <w:r w:rsidR="00B8762E" w:rsidRPr="00AB2735">
        <w:rPr>
          <w:rFonts w:asciiTheme="minorHAnsi" w:hAnsiTheme="minorHAnsi" w:cstheme="minorHAnsi"/>
          <w:lang w:val="en-CA"/>
        </w:rPr>
        <w:t xml:space="preserve">to be </w:t>
      </w:r>
      <w:r w:rsidR="00D23583" w:rsidRPr="00AB2735">
        <w:rPr>
          <w:rFonts w:asciiTheme="minorHAnsi" w:hAnsiTheme="minorHAnsi" w:cstheme="minorHAnsi"/>
          <w:lang w:val="en-CA"/>
        </w:rPr>
        <w:t xml:space="preserve">completed </w:t>
      </w:r>
      <w:r w:rsidR="00B8762E" w:rsidRPr="00AB2735">
        <w:rPr>
          <w:rFonts w:asciiTheme="minorHAnsi" w:hAnsiTheme="minorHAnsi" w:cstheme="minorHAnsi"/>
          <w:lang w:val="en-CA"/>
        </w:rPr>
        <w:t>three</w:t>
      </w:r>
      <w:r w:rsidR="00D23583" w:rsidRPr="00AB2735">
        <w:rPr>
          <w:rFonts w:asciiTheme="minorHAnsi" w:hAnsiTheme="minorHAnsi" w:cstheme="minorHAnsi"/>
          <w:lang w:val="en-CA"/>
        </w:rPr>
        <w:t xml:space="preserve"> months </w:t>
      </w:r>
      <w:r w:rsidR="00071B95" w:rsidRPr="00AB2735">
        <w:rPr>
          <w:rFonts w:asciiTheme="minorHAnsi" w:hAnsiTheme="minorHAnsi" w:cstheme="minorHAnsi"/>
          <w:lang w:val="en-CA"/>
        </w:rPr>
        <w:t xml:space="preserve">after the </w:t>
      </w:r>
      <w:r w:rsidR="00B8762E" w:rsidRPr="00AB2735">
        <w:rPr>
          <w:rFonts w:asciiTheme="minorHAnsi" w:hAnsiTheme="minorHAnsi" w:cstheme="minorHAnsi"/>
          <w:lang w:val="en-CA"/>
        </w:rPr>
        <w:t xml:space="preserve">program (March 2020) </w:t>
      </w:r>
      <w:r w:rsidR="00D23583" w:rsidRPr="00AB2735">
        <w:rPr>
          <w:rFonts w:asciiTheme="minorHAnsi" w:hAnsiTheme="minorHAnsi" w:cstheme="minorHAnsi"/>
          <w:lang w:val="en-CA"/>
        </w:rPr>
        <w:t>to assess retention of mental health information learned</w:t>
      </w:r>
      <w:r w:rsidR="00B8762E" w:rsidRPr="00AB2735">
        <w:rPr>
          <w:rFonts w:asciiTheme="minorHAnsi" w:hAnsiTheme="minorHAnsi" w:cstheme="minorHAnsi"/>
          <w:lang w:val="en-CA"/>
        </w:rPr>
        <w:t>. However, due to the COVID-19 pandemic, this failed to happen</w:t>
      </w:r>
      <w:r w:rsidR="000E1AAC" w:rsidRPr="00AB2735">
        <w:rPr>
          <w:rFonts w:asciiTheme="minorHAnsi" w:hAnsiTheme="minorHAnsi" w:cstheme="minorHAnsi"/>
          <w:lang w:val="en-CA"/>
        </w:rPr>
        <w:t>.</w:t>
      </w:r>
    </w:p>
    <w:p w14:paraId="213B5234" w14:textId="3D651EBF" w:rsidR="006E751F" w:rsidRPr="00AB2735" w:rsidRDefault="001775C9" w:rsidP="00B8762E">
      <w:pPr>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Data were analyzed using the Statistical Package for the Social Sciences (SPSS). </w:t>
      </w:r>
      <w:r w:rsidR="006E751F" w:rsidRPr="00AB2735">
        <w:rPr>
          <w:rFonts w:asciiTheme="minorHAnsi" w:hAnsiTheme="minorHAnsi" w:cstheme="minorHAnsi"/>
          <w:lang w:val="en-CA"/>
        </w:rPr>
        <w:t>Mental health scores</w:t>
      </w:r>
      <w:r w:rsidR="00B8762E" w:rsidRPr="00AB2735">
        <w:rPr>
          <w:rFonts w:asciiTheme="minorHAnsi" w:hAnsiTheme="minorHAnsi" w:cstheme="minorHAnsi"/>
          <w:lang w:val="en-CA"/>
        </w:rPr>
        <w:t>,</w:t>
      </w:r>
      <w:r w:rsidRPr="00AB2735">
        <w:rPr>
          <w:rFonts w:asciiTheme="minorHAnsi" w:hAnsiTheme="minorHAnsi" w:cstheme="minorHAnsi"/>
          <w:lang w:val="en-CA"/>
        </w:rPr>
        <w:t xml:space="preserve"> attitudes toward mental illness</w:t>
      </w:r>
      <w:r w:rsidR="006E751F" w:rsidRPr="00AB2735">
        <w:rPr>
          <w:rFonts w:asciiTheme="minorHAnsi" w:hAnsiTheme="minorHAnsi" w:cstheme="minorHAnsi"/>
          <w:lang w:val="en-CA"/>
        </w:rPr>
        <w:t xml:space="preserve"> scores</w:t>
      </w:r>
      <w:r w:rsidR="00B8762E" w:rsidRPr="00AB2735">
        <w:rPr>
          <w:rFonts w:asciiTheme="minorHAnsi" w:hAnsiTheme="minorHAnsi" w:cstheme="minorHAnsi"/>
          <w:lang w:val="en-CA"/>
        </w:rPr>
        <w:t>, and attitudes toward help-seeking scores</w:t>
      </w:r>
      <w:r w:rsidRPr="00AB2735">
        <w:rPr>
          <w:rFonts w:asciiTheme="minorHAnsi" w:hAnsiTheme="minorHAnsi" w:cstheme="minorHAnsi"/>
          <w:lang w:val="en-CA"/>
        </w:rPr>
        <w:t xml:space="preserve"> were compared between pre- and post-session surveys using </w:t>
      </w:r>
      <w:r w:rsidR="00D23583" w:rsidRPr="00AB2735">
        <w:rPr>
          <w:rFonts w:asciiTheme="minorHAnsi" w:hAnsiTheme="minorHAnsi" w:cstheme="minorHAnsi"/>
          <w:lang w:val="en-CA"/>
        </w:rPr>
        <w:t>paired-</w:t>
      </w:r>
      <w:r w:rsidRPr="00AB2735">
        <w:rPr>
          <w:rFonts w:asciiTheme="minorHAnsi" w:hAnsiTheme="minorHAnsi" w:cstheme="minorHAnsi"/>
          <w:lang w:val="en-CA"/>
        </w:rPr>
        <w:t>sample</w:t>
      </w:r>
      <w:r w:rsidR="00D23583" w:rsidRPr="00AB2735">
        <w:rPr>
          <w:rFonts w:asciiTheme="minorHAnsi" w:hAnsiTheme="minorHAnsi" w:cstheme="minorHAnsi"/>
          <w:lang w:val="en-CA"/>
        </w:rPr>
        <w:t>s</w:t>
      </w:r>
      <w:r w:rsidRPr="00AB2735">
        <w:rPr>
          <w:rFonts w:asciiTheme="minorHAnsi" w:hAnsiTheme="minorHAnsi" w:cstheme="minorHAnsi"/>
          <w:lang w:val="en-CA"/>
        </w:rPr>
        <w:t xml:space="preserve"> t-tests. </w:t>
      </w:r>
      <w:r w:rsidR="00B8762E" w:rsidRPr="00AB2735">
        <w:rPr>
          <w:rFonts w:asciiTheme="minorHAnsi" w:hAnsiTheme="minorHAnsi" w:cstheme="minorHAnsi"/>
          <w:lang w:val="en-CA"/>
        </w:rPr>
        <w:t xml:space="preserve">ANCOVA were conducted </w:t>
      </w:r>
      <w:proofErr w:type="gramStart"/>
      <w:r w:rsidR="00B8762E" w:rsidRPr="00AB2735">
        <w:rPr>
          <w:rFonts w:asciiTheme="minorHAnsi" w:hAnsiTheme="minorHAnsi" w:cstheme="minorHAnsi"/>
          <w:lang w:val="en-CA"/>
        </w:rPr>
        <w:t>in order to</w:t>
      </w:r>
      <w:proofErr w:type="gramEnd"/>
      <w:r w:rsidR="00B8762E" w:rsidRPr="00AB2735">
        <w:rPr>
          <w:rFonts w:asciiTheme="minorHAnsi" w:hAnsiTheme="minorHAnsi" w:cstheme="minorHAnsi"/>
          <w:lang w:val="en-CA"/>
        </w:rPr>
        <w:t xml:space="preserve"> measure differences in pre-test to post-test scores between the two groups (experimental and control), using the pre-survey means as covariates. </w:t>
      </w:r>
      <w:r w:rsidR="000E1AAC" w:rsidRPr="00AB2735">
        <w:rPr>
          <w:rFonts w:asciiTheme="minorHAnsi" w:hAnsiTheme="minorHAnsi" w:cstheme="minorHAnsi"/>
          <w:lang w:val="en-CA"/>
        </w:rPr>
        <w:t>A</w:t>
      </w:r>
      <w:r w:rsidRPr="00AB2735">
        <w:rPr>
          <w:rFonts w:asciiTheme="minorHAnsi" w:hAnsiTheme="minorHAnsi" w:cstheme="minorHAnsi"/>
          <w:lang w:val="en-CA"/>
        </w:rPr>
        <w:t>ll p-values were compared to a statistical significance alpha of .05</w:t>
      </w:r>
      <w:r w:rsidR="000E1AAC" w:rsidRPr="00AB2735">
        <w:rPr>
          <w:rFonts w:asciiTheme="minorHAnsi" w:hAnsiTheme="minorHAnsi" w:cstheme="minorHAnsi"/>
          <w:lang w:val="en-CA"/>
        </w:rPr>
        <w:t>, all d-values were compared to Cohen’s d effects scale (.2 = small, .5 = medium, .8 = large)</w:t>
      </w:r>
      <w:r w:rsidR="005E2E41" w:rsidRPr="00AB2735">
        <w:rPr>
          <w:rFonts w:asciiTheme="minorHAnsi" w:hAnsiTheme="minorHAnsi" w:cstheme="minorHAnsi"/>
          <w:lang w:val="en-CA"/>
        </w:rPr>
        <w:t>, and all h</w:t>
      </w:r>
      <w:r w:rsidR="005E2E41" w:rsidRPr="00AB2735">
        <w:rPr>
          <w:rFonts w:asciiTheme="minorHAnsi" w:hAnsiTheme="minorHAnsi" w:cstheme="minorHAnsi"/>
          <w:vertAlign w:val="subscript"/>
          <w:lang w:val="en-CA"/>
        </w:rPr>
        <w:t>p</w:t>
      </w:r>
      <w:r w:rsidR="005E2E41" w:rsidRPr="00AB2735">
        <w:rPr>
          <w:rFonts w:asciiTheme="minorHAnsi" w:hAnsiTheme="minorHAnsi" w:cstheme="minorHAnsi"/>
          <w:vertAlign w:val="superscript"/>
          <w:lang w:val="en-CA"/>
        </w:rPr>
        <w:t xml:space="preserve">2 </w:t>
      </w:r>
      <w:r w:rsidR="005E2E41" w:rsidRPr="00AB2735">
        <w:rPr>
          <w:rFonts w:asciiTheme="minorHAnsi" w:hAnsiTheme="minorHAnsi" w:cstheme="minorHAnsi"/>
          <w:lang w:val="en-CA"/>
        </w:rPr>
        <w:t>values were compared using partial eta squared effects scale (.01 = small, .09 = medium, .25 = large)</w:t>
      </w:r>
      <w:r w:rsidRPr="00AB2735">
        <w:rPr>
          <w:rFonts w:asciiTheme="minorHAnsi" w:hAnsiTheme="minorHAnsi" w:cstheme="minorHAnsi"/>
          <w:lang w:val="en-CA"/>
        </w:rPr>
        <w:t>.</w:t>
      </w:r>
    </w:p>
    <w:p w14:paraId="00437102" w14:textId="62C389E6" w:rsidR="005E2E41" w:rsidRPr="00AB2735" w:rsidRDefault="00553BDF" w:rsidP="00081957">
      <w:pPr>
        <w:spacing w:line="360" w:lineRule="auto"/>
        <w:rPr>
          <w:rFonts w:asciiTheme="minorHAnsi" w:hAnsiTheme="minorHAnsi" w:cstheme="minorHAnsi"/>
          <w:b/>
          <w:color w:val="800080"/>
          <w:lang w:val="en-CA"/>
        </w:rPr>
      </w:pPr>
      <w:r w:rsidRPr="00AB2735">
        <w:rPr>
          <w:rFonts w:asciiTheme="minorHAnsi" w:hAnsiTheme="minorHAnsi" w:cstheme="minorHAnsi"/>
          <w:noProof/>
          <w:lang w:val="en-CA" w:eastAsia="en-CA"/>
        </w:rPr>
        <w:drawing>
          <wp:anchor distT="0" distB="0" distL="114300" distR="114300" simplePos="0" relativeHeight="251700224" behindDoc="0" locked="0" layoutInCell="1" allowOverlap="1" wp14:anchorId="70EE947D" wp14:editId="202C671F">
            <wp:simplePos x="0" y="0"/>
            <wp:positionH relativeFrom="margin">
              <wp:posOffset>3192780</wp:posOffset>
            </wp:positionH>
            <wp:positionV relativeFrom="paragraph">
              <wp:posOffset>134620</wp:posOffset>
            </wp:positionV>
            <wp:extent cx="2621280" cy="1905000"/>
            <wp:effectExtent l="0" t="0" r="762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775C9" w:rsidRPr="00AB2735">
        <w:rPr>
          <w:rFonts w:asciiTheme="minorHAnsi" w:hAnsiTheme="minorHAnsi" w:cstheme="minorHAnsi"/>
          <w:b/>
          <w:color w:val="800080"/>
          <w:lang w:val="en-CA"/>
        </w:rPr>
        <w:t>Outcomes</w:t>
      </w:r>
    </w:p>
    <w:p w14:paraId="2CF49A2A" w14:textId="33C88102" w:rsidR="0062375C" w:rsidRPr="00AB2735" w:rsidRDefault="0062375C" w:rsidP="00081957">
      <w:pPr>
        <w:spacing w:line="360" w:lineRule="auto"/>
        <w:rPr>
          <w:rFonts w:asciiTheme="minorHAnsi" w:hAnsiTheme="minorHAnsi" w:cstheme="minorHAnsi"/>
          <w:i/>
          <w:iCs/>
          <w:lang w:val="en-CA"/>
        </w:rPr>
      </w:pPr>
      <w:r w:rsidRPr="00AB2735">
        <w:rPr>
          <w:rFonts w:asciiTheme="minorHAnsi" w:hAnsiTheme="minorHAnsi" w:cstheme="minorHAnsi"/>
          <w:i/>
          <w:iCs/>
          <w:lang w:val="en-CA"/>
        </w:rPr>
        <w:t>Independent t-Test for Control vs. Experimental</w:t>
      </w:r>
    </w:p>
    <w:p w14:paraId="620940A8" w14:textId="65554023" w:rsidR="001753D3" w:rsidRPr="00AB2735" w:rsidRDefault="0062375C" w:rsidP="001753D3">
      <w:pPr>
        <w:spacing w:line="360" w:lineRule="auto"/>
        <w:ind w:firstLine="720"/>
        <w:rPr>
          <w:rFonts w:asciiTheme="minorHAnsi" w:hAnsiTheme="minorHAnsi" w:cstheme="minorHAnsi"/>
          <w:lang w:val="en-CA"/>
        </w:rPr>
      </w:pPr>
      <w:r w:rsidRPr="00AB2735">
        <w:rPr>
          <w:rFonts w:asciiTheme="minorHAnsi" w:hAnsiTheme="minorHAnsi" w:cstheme="minorHAnsi"/>
          <w:noProof/>
          <w:lang w:val="en-CA"/>
        </w:rPr>
        <mc:AlternateContent>
          <mc:Choice Requires="wps">
            <w:drawing>
              <wp:anchor distT="0" distB="0" distL="114300" distR="114300" simplePos="0" relativeHeight="251702272" behindDoc="0" locked="0" layoutInCell="1" allowOverlap="1" wp14:anchorId="394AEE68" wp14:editId="34369A15">
                <wp:simplePos x="0" y="0"/>
                <wp:positionH relativeFrom="column">
                  <wp:posOffset>3162300</wp:posOffset>
                </wp:positionH>
                <wp:positionV relativeFrom="paragraph">
                  <wp:posOffset>1720850</wp:posOffset>
                </wp:positionV>
                <wp:extent cx="2621280" cy="243840"/>
                <wp:effectExtent l="0" t="0" r="7620" b="3810"/>
                <wp:wrapSquare wrapText="bothSides"/>
                <wp:docPr id="19" name="Text Box 19"/>
                <wp:cNvGraphicFramePr/>
                <a:graphic xmlns:a="http://schemas.openxmlformats.org/drawingml/2006/main">
                  <a:graphicData uri="http://schemas.microsoft.com/office/word/2010/wordprocessingShape">
                    <wps:wsp>
                      <wps:cNvSpPr txBox="1"/>
                      <wps:spPr>
                        <a:xfrm>
                          <a:off x="0" y="0"/>
                          <a:ext cx="2621280" cy="243840"/>
                        </a:xfrm>
                        <a:prstGeom prst="rect">
                          <a:avLst/>
                        </a:prstGeom>
                        <a:solidFill>
                          <a:sysClr val="window" lastClr="FFFFFF"/>
                        </a:solidFill>
                        <a:ln w="6350">
                          <a:noFill/>
                        </a:ln>
                      </wps:spPr>
                      <wps:txbx>
                        <w:txbxContent>
                          <w:p w14:paraId="227E532E" w14:textId="04FA1025" w:rsidR="00F552F1" w:rsidRPr="00705FBF" w:rsidRDefault="00F552F1" w:rsidP="005C094C">
                            <w:pPr>
                              <w:rPr>
                                <w:rFonts w:asciiTheme="minorHAnsi" w:hAnsiTheme="minorHAnsi" w:cstheme="minorHAnsi"/>
                                <w:sz w:val="20"/>
                                <w:szCs w:val="20"/>
                                <w:lang w:val="en-CA"/>
                              </w:rPr>
                            </w:pPr>
                            <w:r w:rsidRPr="00705FBF">
                              <w:rPr>
                                <w:rFonts w:asciiTheme="minorHAnsi" w:hAnsiTheme="minorHAnsi" w:cstheme="minorHAnsi"/>
                                <w:sz w:val="20"/>
                                <w:szCs w:val="20"/>
                                <w:lang w:val="en-CA"/>
                              </w:rPr>
                              <w:t xml:space="preserve">Figure </w:t>
                            </w:r>
                            <w:r>
                              <w:rPr>
                                <w:rFonts w:asciiTheme="minorHAnsi" w:hAnsiTheme="minorHAnsi" w:cstheme="minorHAnsi"/>
                                <w:sz w:val="20"/>
                                <w:szCs w:val="20"/>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AEE68" id="Text Box 19" o:spid="_x0000_s1028" type="#_x0000_t202" style="position:absolute;left:0;text-align:left;margin-left:249pt;margin-top:135.5pt;width:206.4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" fillcolor="window" stroked="f" strokeweight=".5pt">
                <v:textbox>
                  <w:txbxContent>
                    <w:p w14:paraId="227E532E" w14:textId="04FA1025" w:rsidR="00F552F1" w:rsidRPr="00705FBF" w:rsidRDefault="00F552F1" w:rsidP="005C094C">
                      <w:pPr>
                        <w:rPr>
                          <w:rFonts w:asciiTheme="minorHAnsi" w:hAnsiTheme="minorHAnsi" w:cstheme="minorHAnsi"/>
                          <w:sz w:val="20"/>
                          <w:szCs w:val="20"/>
                          <w:lang w:val="en-CA"/>
                        </w:rPr>
                      </w:pPr>
                      <w:r w:rsidRPr="00705FBF">
                        <w:rPr>
                          <w:rFonts w:asciiTheme="minorHAnsi" w:hAnsiTheme="minorHAnsi" w:cstheme="minorHAnsi"/>
                          <w:sz w:val="20"/>
                          <w:szCs w:val="20"/>
                          <w:lang w:val="en-CA"/>
                        </w:rPr>
                        <w:t xml:space="preserve">Figure </w:t>
                      </w:r>
                      <w:r>
                        <w:rPr>
                          <w:rFonts w:asciiTheme="minorHAnsi" w:hAnsiTheme="minorHAnsi" w:cstheme="minorHAnsi"/>
                          <w:sz w:val="20"/>
                          <w:szCs w:val="20"/>
                          <w:lang w:val="en-CA"/>
                        </w:rPr>
                        <w:t>1</w:t>
                      </w:r>
                    </w:p>
                  </w:txbxContent>
                </v:textbox>
                <w10:wrap type="square"/>
              </v:shape>
            </w:pict>
          </mc:Fallback>
        </mc:AlternateContent>
      </w:r>
      <w:r w:rsidR="00BA4ECB" w:rsidRPr="00AB2735">
        <w:rPr>
          <w:rFonts w:asciiTheme="minorHAnsi" w:hAnsiTheme="minorHAnsi" w:cstheme="minorHAnsi"/>
          <w:lang w:val="en-CA"/>
        </w:rPr>
        <w:t>A</w:t>
      </w:r>
      <w:r w:rsidR="001753D3" w:rsidRPr="00AB2735">
        <w:rPr>
          <w:rFonts w:asciiTheme="minorHAnsi" w:hAnsiTheme="minorHAnsi" w:cstheme="minorHAnsi"/>
          <w:lang w:val="en-CA"/>
        </w:rPr>
        <w:t xml:space="preserve">nalyses were conducted to study differences between the two groups (control vs. experimental). Pre-test surveys of mental health knowledge showed that participants in the control group </w:t>
      </w:r>
      <w:r w:rsidR="005C094C" w:rsidRPr="00AB2735">
        <w:rPr>
          <w:rFonts w:asciiTheme="minorHAnsi" w:hAnsiTheme="minorHAnsi" w:cstheme="minorHAnsi"/>
          <w:lang w:val="en-CA"/>
        </w:rPr>
        <w:t xml:space="preserve">started out with an </w:t>
      </w:r>
      <w:r w:rsidR="001753D3" w:rsidRPr="00AB2735">
        <w:rPr>
          <w:rFonts w:asciiTheme="minorHAnsi" w:hAnsiTheme="minorHAnsi" w:cstheme="minorHAnsi"/>
          <w:lang w:val="en-CA"/>
        </w:rPr>
        <w:t>average</w:t>
      </w:r>
      <w:r w:rsidR="005C094C" w:rsidRPr="00AB2735">
        <w:rPr>
          <w:rFonts w:asciiTheme="minorHAnsi" w:hAnsiTheme="minorHAnsi" w:cstheme="minorHAnsi"/>
          <w:lang w:val="en-CA"/>
        </w:rPr>
        <w:t xml:space="preserve"> knowledge</w:t>
      </w:r>
      <w:r w:rsidR="001753D3" w:rsidRPr="00AB2735">
        <w:rPr>
          <w:rFonts w:asciiTheme="minorHAnsi" w:hAnsiTheme="minorHAnsi" w:cstheme="minorHAnsi"/>
          <w:lang w:val="en-CA"/>
        </w:rPr>
        <w:t xml:space="preserve"> score of 10.</w:t>
      </w:r>
      <w:r w:rsidR="00DB4865" w:rsidRPr="00AB2735">
        <w:rPr>
          <w:rFonts w:asciiTheme="minorHAnsi" w:hAnsiTheme="minorHAnsi" w:cstheme="minorHAnsi"/>
          <w:lang w:val="en-CA"/>
        </w:rPr>
        <w:t>60</w:t>
      </w:r>
      <w:r w:rsidR="001753D3" w:rsidRPr="00AB2735">
        <w:rPr>
          <w:rFonts w:asciiTheme="minorHAnsi" w:hAnsiTheme="minorHAnsi" w:cstheme="minorHAnsi"/>
          <w:lang w:val="en-CA"/>
        </w:rPr>
        <w:t xml:space="preserve"> (</w:t>
      </w:r>
      <w:r w:rsidR="001753D3" w:rsidRPr="00AB2735">
        <w:rPr>
          <w:rFonts w:asciiTheme="minorHAnsi" w:hAnsiTheme="minorHAnsi" w:cstheme="minorHAnsi"/>
          <w:i/>
          <w:lang w:val="en-CA"/>
        </w:rPr>
        <w:t>SD</w:t>
      </w:r>
      <w:r w:rsidR="001753D3" w:rsidRPr="00AB2735">
        <w:rPr>
          <w:rFonts w:asciiTheme="minorHAnsi" w:hAnsiTheme="minorHAnsi" w:cstheme="minorHAnsi"/>
          <w:lang w:val="en-CA"/>
        </w:rPr>
        <w:t>=4.</w:t>
      </w:r>
      <w:r w:rsidR="00DB4865" w:rsidRPr="00AB2735">
        <w:rPr>
          <w:rFonts w:asciiTheme="minorHAnsi" w:hAnsiTheme="minorHAnsi" w:cstheme="minorHAnsi"/>
          <w:lang w:val="en-CA"/>
        </w:rPr>
        <w:t>95</w:t>
      </w:r>
      <w:r w:rsidR="001753D3" w:rsidRPr="00AB2735">
        <w:rPr>
          <w:rFonts w:asciiTheme="minorHAnsi" w:hAnsiTheme="minorHAnsi" w:cstheme="minorHAnsi"/>
          <w:lang w:val="en-CA"/>
        </w:rPr>
        <w:t xml:space="preserve">) out of 30 </w:t>
      </w:r>
      <w:r w:rsidR="001753D3" w:rsidRPr="00AB2735">
        <w:rPr>
          <w:rFonts w:asciiTheme="minorHAnsi" w:hAnsiTheme="minorHAnsi" w:cstheme="minorHAnsi"/>
          <w:lang w:val="en-CA"/>
        </w:rPr>
        <w:lastRenderedPageBreak/>
        <w:t>(35.</w:t>
      </w:r>
      <w:r w:rsidR="00DB4865" w:rsidRPr="00AB2735">
        <w:rPr>
          <w:rFonts w:asciiTheme="minorHAnsi" w:hAnsiTheme="minorHAnsi" w:cstheme="minorHAnsi"/>
          <w:lang w:val="en-CA"/>
        </w:rPr>
        <w:t>3</w:t>
      </w:r>
      <w:r w:rsidR="001753D3" w:rsidRPr="00AB2735">
        <w:rPr>
          <w:rFonts w:asciiTheme="minorHAnsi" w:hAnsiTheme="minorHAnsi" w:cstheme="minorHAnsi"/>
          <w:lang w:val="en-CA"/>
        </w:rPr>
        <w:t>3% correct), while participants in the experimental group averaged 1</w:t>
      </w:r>
      <w:r w:rsidR="00DB4865" w:rsidRPr="00AB2735">
        <w:rPr>
          <w:rFonts w:asciiTheme="minorHAnsi" w:hAnsiTheme="minorHAnsi" w:cstheme="minorHAnsi"/>
          <w:lang w:val="en-CA"/>
        </w:rPr>
        <w:t>0</w:t>
      </w:r>
      <w:r w:rsidR="001753D3" w:rsidRPr="00AB2735">
        <w:rPr>
          <w:rFonts w:asciiTheme="minorHAnsi" w:hAnsiTheme="minorHAnsi" w:cstheme="minorHAnsi"/>
          <w:lang w:val="en-CA"/>
        </w:rPr>
        <w:t>.</w:t>
      </w:r>
      <w:r w:rsidR="00DB4865" w:rsidRPr="00AB2735">
        <w:rPr>
          <w:rFonts w:asciiTheme="minorHAnsi" w:hAnsiTheme="minorHAnsi" w:cstheme="minorHAnsi"/>
          <w:lang w:val="en-CA"/>
        </w:rPr>
        <w:t>86</w:t>
      </w:r>
      <w:r w:rsidR="001753D3" w:rsidRPr="00AB2735">
        <w:rPr>
          <w:rFonts w:asciiTheme="minorHAnsi" w:hAnsiTheme="minorHAnsi" w:cstheme="minorHAnsi"/>
          <w:lang w:val="en-CA"/>
        </w:rPr>
        <w:t xml:space="preserve"> (</w:t>
      </w:r>
      <w:r w:rsidR="001753D3" w:rsidRPr="00AB2735">
        <w:rPr>
          <w:rFonts w:asciiTheme="minorHAnsi" w:hAnsiTheme="minorHAnsi" w:cstheme="minorHAnsi"/>
          <w:i/>
          <w:lang w:val="en-CA"/>
        </w:rPr>
        <w:t>SD</w:t>
      </w:r>
      <w:r w:rsidR="001753D3" w:rsidRPr="00AB2735">
        <w:rPr>
          <w:rFonts w:asciiTheme="minorHAnsi" w:hAnsiTheme="minorHAnsi" w:cstheme="minorHAnsi"/>
          <w:lang w:val="en-CA"/>
        </w:rPr>
        <w:t>=</w:t>
      </w:r>
      <w:r w:rsidR="00DB4865" w:rsidRPr="00AB2735">
        <w:rPr>
          <w:rFonts w:asciiTheme="minorHAnsi" w:hAnsiTheme="minorHAnsi" w:cstheme="minorHAnsi"/>
          <w:lang w:val="en-CA"/>
        </w:rPr>
        <w:t>4.</w:t>
      </w:r>
      <w:r w:rsidR="001753D3" w:rsidRPr="00AB2735">
        <w:rPr>
          <w:rFonts w:asciiTheme="minorHAnsi" w:hAnsiTheme="minorHAnsi" w:cstheme="minorHAnsi"/>
          <w:lang w:val="en-CA"/>
        </w:rPr>
        <w:t>55) out of 30 (</w:t>
      </w:r>
      <w:r w:rsidR="00DB4865" w:rsidRPr="00AB2735">
        <w:rPr>
          <w:rFonts w:asciiTheme="minorHAnsi" w:hAnsiTheme="minorHAnsi" w:cstheme="minorHAnsi"/>
          <w:lang w:val="en-CA"/>
        </w:rPr>
        <w:t>36.20</w:t>
      </w:r>
      <w:r w:rsidR="001753D3" w:rsidRPr="00AB2735">
        <w:rPr>
          <w:rFonts w:asciiTheme="minorHAnsi" w:hAnsiTheme="minorHAnsi" w:cstheme="minorHAnsi"/>
          <w:lang w:val="en-CA"/>
        </w:rPr>
        <w:t>% correct)</w:t>
      </w:r>
      <w:r w:rsidR="00E664C8" w:rsidRPr="00AB2735">
        <w:rPr>
          <w:rFonts w:asciiTheme="minorHAnsi" w:hAnsiTheme="minorHAnsi" w:cstheme="minorHAnsi"/>
          <w:lang w:val="en-CA"/>
        </w:rPr>
        <w:t xml:space="preserve">. This produced an </w:t>
      </w:r>
      <w:r w:rsidR="004B32CE" w:rsidRPr="00AB2735">
        <w:rPr>
          <w:rFonts w:asciiTheme="minorHAnsi" w:hAnsiTheme="minorHAnsi" w:cstheme="minorHAnsi"/>
          <w:lang w:val="en-CA"/>
        </w:rPr>
        <w:t>u</w:t>
      </w:r>
      <w:r w:rsidR="00E664C8" w:rsidRPr="00AB2735">
        <w:rPr>
          <w:rFonts w:asciiTheme="minorHAnsi" w:hAnsiTheme="minorHAnsi" w:cstheme="minorHAnsi"/>
          <w:lang w:val="en-CA"/>
        </w:rPr>
        <w:t>nsignificant result</w:t>
      </w:r>
      <w:r w:rsidR="001753D3" w:rsidRPr="00AB2735">
        <w:rPr>
          <w:rFonts w:asciiTheme="minorHAnsi" w:hAnsiTheme="minorHAnsi" w:cstheme="minorHAnsi"/>
          <w:lang w:val="en-CA"/>
        </w:rPr>
        <w:t xml:space="preserve"> </w:t>
      </w:r>
      <w:proofErr w:type="gramStart"/>
      <w:r w:rsidR="001753D3" w:rsidRPr="00AB2735">
        <w:rPr>
          <w:rFonts w:asciiTheme="minorHAnsi" w:hAnsiTheme="minorHAnsi" w:cstheme="minorHAnsi"/>
          <w:lang w:val="en-CA"/>
        </w:rPr>
        <w:t>t(</w:t>
      </w:r>
      <w:proofErr w:type="gramEnd"/>
      <w:r w:rsidR="00DB4865" w:rsidRPr="00AB2735">
        <w:rPr>
          <w:rFonts w:asciiTheme="minorHAnsi" w:hAnsiTheme="minorHAnsi" w:cstheme="minorHAnsi"/>
          <w:lang w:val="en-CA"/>
        </w:rPr>
        <w:t>65</w:t>
      </w:r>
      <w:r w:rsidR="001753D3" w:rsidRPr="00AB2735">
        <w:rPr>
          <w:rFonts w:asciiTheme="minorHAnsi" w:hAnsiTheme="minorHAnsi" w:cstheme="minorHAnsi"/>
          <w:lang w:val="en-CA"/>
        </w:rPr>
        <w:t xml:space="preserve">) = </w:t>
      </w:r>
      <w:r w:rsidR="00DB4865" w:rsidRPr="00AB2735">
        <w:rPr>
          <w:rFonts w:asciiTheme="minorHAnsi" w:hAnsiTheme="minorHAnsi" w:cstheme="minorHAnsi"/>
          <w:lang w:val="en-CA"/>
        </w:rPr>
        <w:t>-.228, p=.820</w:t>
      </w:r>
      <w:r w:rsidR="00E664C8" w:rsidRPr="00AB2735">
        <w:rPr>
          <w:rFonts w:asciiTheme="minorHAnsi" w:hAnsiTheme="minorHAnsi" w:cstheme="minorHAnsi"/>
          <w:lang w:val="en-CA"/>
        </w:rPr>
        <w:t xml:space="preserve"> (see Figure </w:t>
      </w:r>
      <w:r w:rsidR="00553BDF" w:rsidRPr="00AB2735">
        <w:rPr>
          <w:rFonts w:asciiTheme="minorHAnsi" w:hAnsiTheme="minorHAnsi" w:cstheme="minorHAnsi"/>
          <w:lang w:val="en-CA"/>
        </w:rPr>
        <w:t>1</w:t>
      </w:r>
      <w:r w:rsidR="00E664C8" w:rsidRPr="00AB2735">
        <w:rPr>
          <w:rFonts w:asciiTheme="minorHAnsi" w:hAnsiTheme="minorHAnsi" w:cstheme="minorHAnsi"/>
          <w:lang w:val="en-CA"/>
        </w:rPr>
        <w:t>)</w:t>
      </w:r>
      <w:r w:rsidR="001753D3" w:rsidRPr="00AB2735">
        <w:rPr>
          <w:rFonts w:asciiTheme="minorHAnsi" w:hAnsiTheme="minorHAnsi" w:cstheme="minorHAnsi"/>
          <w:lang w:val="en-CA"/>
        </w:rPr>
        <w:t xml:space="preserve">. During the post-session survey, control group participants </w:t>
      </w:r>
      <w:r w:rsidR="00E664C8" w:rsidRPr="00AB2735">
        <w:rPr>
          <w:rFonts w:asciiTheme="minorHAnsi" w:hAnsiTheme="minorHAnsi" w:cstheme="minorHAnsi"/>
          <w:lang w:val="en-CA"/>
        </w:rPr>
        <w:t xml:space="preserve">slightly increased their </w:t>
      </w:r>
      <w:r w:rsidR="001753D3" w:rsidRPr="00AB2735">
        <w:rPr>
          <w:rFonts w:asciiTheme="minorHAnsi" w:hAnsiTheme="minorHAnsi" w:cstheme="minorHAnsi"/>
          <w:lang w:val="en-CA"/>
        </w:rPr>
        <w:t>average</w:t>
      </w:r>
      <w:r w:rsidR="00E664C8" w:rsidRPr="00AB2735">
        <w:rPr>
          <w:rFonts w:asciiTheme="minorHAnsi" w:hAnsiTheme="minorHAnsi" w:cstheme="minorHAnsi"/>
          <w:lang w:val="en-CA"/>
        </w:rPr>
        <w:t xml:space="preserve"> to 11.27</w:t>
      </w:r>
      <w:r w:rsidR="001753D3" w:rsidRPr="00AB2735">
        <w:rPr>
          <w:rFonts w:asciiTheme="minorHAnsi" w:hAnsiTheme="minorHAnsi" w:cstheme="minorHAnsi"/>
          <w:lang w:val="en-CA"/>
        </w:rPr>
        <w:t xml:space="preserve"> (SD=</w:t>
      </w:r>
      <w:r w:rsidR="00E664C8" w:rsidRPr="00AB2735">
        <w:rPr>
          <w:rFonts w:asciiTheme="minorHAnsi" w:hAnsiTheme="minorHAnsi" w:cstheme="minorHAnsi"/>
          <w:lang w:val="en-CA"/>
        </w:rPr>
        <w:t>5.07</w:t>
      </w:r>
      <w:r w:rsidR="001753D3" w:rsidRPr="00AB2735">
        <w:rPr>
          <w:rFonts w:asciiTheme="minorHAnsi" w:hAnsiTheme="minorHAnsi" w:cstheme="minorHAnsi"/>
          <w:lang w:val="en-CA"/>
        </w:rPr>
        <w:t>) out of 30 (</w:t>
      </w:r>
      <w:r w:rsidR="00E664C8" w:rsidRPr="00AB2735">
        <w:rPr>
          <w:rFonts w:asciiTheme="minorHAnsi" w:hAnsiTheme="minorHAnsi" w:cstheme="minorHAnsi"/>
          <w:lang w:val="en-CA"/>
        </w:rPr>
        <w:t>37.57</w:t>
      </w:r>
      <w:r w:rsidR="001753D3" w:rsidRPr="00AB2735">
        <w:rPr>
          <w:rFonts w:asciiTheme="minorHAnsi" w:hAnsiTheme="minorHAnsi" w:cstheme="minorHAnsi"/>
          <w:lang w:val="en-CA"/>
        </w:rPr>
        <w:t xml:space="preserve">% correct), while the experimental group </w:t>
      </w:r>
      <w:r w:rsidR="00E706D1" w:rsidRPr="00AB2735">
        <w:rPr>
          <w:rFonts w:asciiTheme="minorHAnsi" w:hAnsiTheme="minorHAnsi" w:cstheme="minorHAnsi"/>
          <w:lang w:val="en-CA"/>
        </w:rPr>
        <w:t xml:space="preserve">statistically </w:t>
      </w:r>
      <w:r w:rsidR="00E664C8" w:rsidRPr="00AB2735">
        <w:rPr>
          <w:rFonts w:asciiTheme="minorHAnsi" w:hAnsiTheme="minorHAnsi" w:cstheme="minorHAnsi"/>
          <w:lang w:val="en-CA"/>
        </w:rPr>
        <w:t xml:space="preserve">significantly </w:t>
      </w:r>
      <w:r w:rsidR="001753D3" w:rsidRPr="00AB2735">
        <w:rPr>
          <w:rFonts w:asciiTheme="minorHAnsi" w:hAnsiTheme="minorHAnsi" w:cstheme="minorHAnsi"/>
          <w:lang w:val="en-CA"/>
        </w:rPr>
        <w:t xml:space="preserve">increased their average scores to </w:t>
      </w:r>
      <w:r w:rsidR="00E664C8" w:rsidRPr="00AB2735">
        <w:rPr>
          <w:rFonts w:asciiTheme="minorHAnsi" w:hAnsiTheme="minorHAnsi" w:cstheme="minorHAnsi"/>
          <w:lang w:val="en-CA"/>
        </w:rPr>
        <w:t>16.46</w:t>
      </w:r>
      <w:r w:rsidR="001753D3" w:rsidRPr="00AB2735">
        <w:rPr>
          <w:rFonts w:asciiTheme="minorHAnsi" w:hAnsiTheme="minorHAnsi" w:cstheme="minorHAnsi"/>
          <w:lang w:val="en-CA"/>
        </w:rPr>
        <w:t xml:space="preserve"> (SD=</w:t>
      </w:r>
      <w:r w:rsidR="00E664C8" w:rsidRPr="00AB2735">
        <w:rPr>
          <w:rFonts w:asciiTheme="minorHAnsi" w:hAnsiTheme="minorHAnsi" w:cstheme="minorHAnsi"/>
          <w:lang w:val="en-CA"/>
        </w:rPr>
        <w:t>4.86</w:t>
      </w:r>
      <w:r w:rsidR="001753D3" w:rsidRPr="00AB2735">
        <w:rPr>
          <w:rFonts w:asciiTheme="minorHAnsi" w:hAnsiTheme="minorHAnsi" w:cstheme="minorHAnsi"/>
          <w:lang w:val="en-CA"/>
        </w:rPr>
        <w:t>) out of 30 (</w:t>
      </w:r>
      <w:r w:rsidR="00E664C8" w:rsidRPr="00AB2735">
        <w:rPr>
          <w:rFonts w:asciiTheme="minorHAnsi" w:hAnsiTheme="minorHAnsi" w:cstheme="minorHAnsi"/>
          <w:lang w:val="en-CA"/>
        </w:rPr>
        <w:t>54.87</w:t>
      </w:r>
      <w:r w:rsidR="001753D3" w:rsidRPr="00AB2735">
        <w:rPr>
          <w:rFonts w:asciiTheme="minorHAnsi" w:hAnsiTheme="minorHAnsi" w:cstheme="minorHAnsi"/>
          <w:lang w:val="en-CA"/>
        </w:rPr>
        <w:t>% correct)</w:t>
      </w:r>
      <w:r w:rsidR="00E664C8" w:rsidRPr="00AB2735">
        <w:rPr>
          <w:rFonts w:asciiTheme="minorHAnsi" w:hAnsiTheme="minorHAnsi" w:cstheme="minorHAnsi"/>
          <w:lang w:val="en-CA"/>
        </w:rPr>
        <w:t xml:space="preserve"> after exposure to the Guide</w:t>
      </w:r>
      <w:r w:rsidR="001753D3" w:rsidRPr="00AB2735">
        <w:rPr>
          <w:rFonts w:asciiTheme="minorHAnsi" w:hAnsiTheme="minorHAnsi" w:cstheme="minorHAnsi"/>
          <w:lang w:val="en-CA"/>
        </w:rPr>
        <w:t xml:space="preserve"> </w:t>
      </w:r>
      <w:proofErr w:type="gramStart"/>
      <w:r w:rsidR="001753D3" w:rsidRPr="00AB2735">
        <w:rPr>
          <w:rFonts w:asciiTheme="minorHAnsi" w:hAnsiTheme="minorHAnsi" w:cstheme="minorHAnsi"/>
          <w:i/>
          <w:lang w:val="en-CA"/>
        </w:rPr>
        <w:t>t</w:t>
      </w:r>
      <w:r w:rsidR="001753D3" w:rsidRPr="00AB2735">
        <w:rPr>
          <w:rFonts w:asciiTheme="minorHAnsi" w:hAnsiTheme="minorHAnsi" w:cstheme="minorHAnsi"/>
          <w:lang w:val="en-CA"/>
        </w:rPr>
        <w:t>(</w:t>
      </w:r>
      <w:proofErr w:type="gramEnd"/>
      <w:r w:rsidR="001753D3" w:rsidRPr="00AB2735">
        <w:rPr>
          <w:rFonts w:asciiTheme="minorHAnsi" w:hAnsiTheme="minorHAnsi" w:cstheme="minorHAnsi"/>
          <w:lang w:val="en-CA"/>
        </w:rPr>
        <w:t>6</w:t>
      </w:r>
      <w:r w:rsidR="00E664C8" w:rsidRPr="00AB2735">
        <w:rPr>
          <w:rFonts w:asciiTheme="minorHAnsi" w:hAnsiTheme="minorHAnsi" w:cstheme="minorHAnsi"/>
          <w:lang w:val="en-CA"/>
        </w:rPr>
        <w:t>5</w:t>
      </w:r>
      <w:r w:rsidR="001753D3" w:rsidRPr="00AB2735">
        <w:rPr>
          <w:rFonts w:asciiTheme="minorHAnsi" w:hAnsiTheme="minorHAnsi" w:cstheme="minorHAnsi"/>
          <w:lang w:val="en-CA"/>
        </w:rPr>
        <w:t>) = -</w:t>
      </w:r>
      <w:r w:rsidR="00E664C8" w:rsidRPr="00AB2735">
        <w:rPr>
          <w:rFonts w:asciiTheme="minorHAnsi" w:hAnsiTheme="minorHAnsi" w:cstheme="minorHAnsi"/>
          <w:lang w:val="en-CA"/>
        </w:rPr>
        <w:t>4.2</w:t>
      </w:r>
      <w:r w:rsidR="001753D3" w:rsidRPr="00AB2735">
        <w:rPr>
          <w:rFonts w:asciiTheme="minorHAnsi" w:hAnsiTheme="minorHAnsi" w:cstheme="minorHAnsi"/>
          <w:lang w:val="en-CA"/>
        </w:rPr>
        <w:t xml:space="preserve">64, </w:t>
      </w:r>
      <w:r w:rsidR="001753D3" w:rsidRPr="00AB2735">
        <w:rPr>
          <w:rFonts w:asciiTheme="minorHAnsi" w:hAnsiTheme="minorHAnsi" w:cstheme="minorHAnsi"/>
          <w:i/>
          <w:lang w:val="en-CA"/>
        </w:rPr>
        <w:t>p</w:t>
      </w:r>
      <w:r w:rsidR="001753D3" w:rsidRPr="00AB2735">
        <w:rPr>
          <w:rFonts w:asciiTheme="minorHAnsi" w:hAnsiTheme="minorHAnsi" w:cstheme="minorHAnsi"/>
          <w:lang w:val="en-CA"/>
        </w:rPr>
        <w:t xml:space="preserve">=.000; </w:t>
      </w:r>
      <w:r w:rsidR="001753D3" w:rsidRPr="00AB2735">
        <w:rPr>
          <w:rFonts w:asciiTheme="minorHAnsi" w:hAnsiTheme="minorHAnsi" w:cstheme="minorHAnsi"/>
          <w:i/>
          <w:lang w:val="en-CA"/>
        </w:rPr>
        <w:t>d</w:t>
      </w:r>
      <w:r w:rsidR="001753D3" w:rsidRPr="00AB2735">
        <w:rPr>
          <w:rFonts w:asciiTheme="minorHAnsi" w:hAnsiTheme="minorHAnsi" w:cstheme="minorHAnsi"/>
          <w:lang w:val="en-CA"/>
        </w:rPr>
        <w:t>=</w:t>
      </w:r>
      <w:r w:rsidR="00E664C8" w:rsidRPr="00AB2735">
        <w:rPr>
          <w:rFonts w:asciiTheme="minorHAnsi" w:hAnsiTheme="minorHAnsi" w:cstheme="minorHAnsi"/>
          <w:lang w:val="en-CA"/>
        </w:rPr>
        <w:t>1.05</w:t>
      </w:r>
      <w:r w:rsidR="001753D3" w:rsidRPr="00AB2735">
        <w:rPr>
          <w:rFonts w:asciiTheme="minorHAnsi" w:hAnsiTheme="minorHAnsi" w:cstheme="minorHAnsi"/>
          <w:lang w:val="en-CA"/>
        </w:rPr>
        <w:t xml:space="preserve"> (</w:t>
      </w:r>
      <w:r w:rsidR="00E664C8" w:rsidRPr="00AB2735">
        <w:rPr>
          <w:rFonts w:asciiTheme="minorHAnsi" w:hAnsiTheme="minorHAnsi" w:cstheme="minorHAnsi"/>
          <w:lang w:val="en-CA"/>
        </w:rPr>
        <w:t xml:space="preserve">large </w:t>
      </w:r>
      <w:r w:rsidR="001753D3" w:rsidRPr="00AB2735">
        <w:rPr>
          <w:rFonts w:asciiTheme="minorHAnsi" w:hAnsiTheme="minorHAnsi" w:cstheme="minorHAnsi"/>
          <w:lang w:val="en-CA"/>
        </w:rPr>
        <w:t xml:space="preserve">effect size) (see Figure </w:t>
      </w:r>
      <w:r w:rsidR="00553BDF" w:rsidRPr="00AB2735">
        <w:rPr>
          <w:rFonts w:asciiTheme="minorHAnsi" w:hAnsiTheme="minorHAnsi" w:cstheme="minorHAnsi"/>
          <w:lang w:val="en-CA"/>
        </w:rPr>
        <w:t>1</w:t>
      </w:r>
      <w:r w:rsidR="001753D3" w:rsidRPr="00AB2735">
        <w:rPr>
          <w:rFonts w:asciiTheme="minorHAnsi" w:hAnsiTheme="minorHAnsi" w:cstheme="minorHAnsi"/>
          <w:lang w:val="en-CA"/>
        </w:rPr>
        <w:t xml:space="preserve">). </w:t>
      </w:r>
    </w:p>
    <w:p w14:paraId="18024BAB" w14:textId="05780AA1" w:rsidR="001753D3" w:rsidRPr="00AB2735" w:rsidRDefault="00D40736" w:rsidP="001753D3">
      <w:pPr>
        <w:spacing w:line="360" w:lineRule="auto"/>
        <w:ind w:firstLine="720"/>
        <w:rPr>
          <w:rFonts w:asciiTheme="minorHAnsi" w:hAnsiTheme="minorHAnsi" w:cstheme="minorHAnsi"/>
          <w:lang w:val="en-CA"/>
        </w:rPr>
      </w:pPr>
      <w:r w:rsidRPr="00AB2735">
        <w:rPr>
          <w:rFonts w:asciiTheme="minorHAnsi" w:hAnsiTheme="minorHAnsi" w:cstheme="minorHAnsi"/>
          <w:noProof/>
          <w:lang w:val="en-CA" w:eastAsia="en-CA"/>
        </w:rPr>
        <w:drawing>
          <wp:anchor distT="0" distB="0" distL="114300" distR="114300" simplePos="0" relativeHeight="251696128" behindDoc="0" locked="0" layoutInCell="1" allowOverlap="1" wp14:anchorId="28AC2DE9" wp14:editId="02C37C90">
            <wp:simplePos x="0" y="0"/>
            <wp:positionH relativeFrom="column">
              <wp:posOffset>3190240</wp:posOffset>
            </wp:positionH>
            <wp:positionV relativeFrom="paragraph">
              <wp:posOffset>40005</wp:posOffset>
            </wp:positionV>
            <wp:extent cx="2575560" cy="1714500"/>
            <wp:effectExtent l="0" t="0" r="1524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753D3" w:rsidRPr="00AB2735">
        <w:rPr>
          <w:rFonts w:asciiTheme="minorHAnsi" w:hAnsiTheme="minorHAnsi" w:cstheme="minorHAnsi"/>
          <w:lang w:val="en-CA"/>
        </w:rPr>
        <w:t xml:space="preserve">Statistical evaluation of </w:t>
      </w:r>
    </w:p>
    <w:p w14:paraId="2B1DA269" w14:textId="5970208F" w:rsidR="001753D3" w:rsidRPr="00AB2735" w:rsidRDefault="00D40736" w:rsidP="001753D3">
      <w:pPr>
        <w:spacing w:line="360" w:lineRule="auto"/>
        <w:rPr>
          <w:rFonts w:asciiTheme="minorHAnsi" w:hAnsiTheme="minorHAnsi" w:cstheme="minorHAnsi"/>
          <w:lang w:val="en-CA"/>
        </w:rPr>
      </w:pPr>
      <w:r w:rsidRPr="00AB2735">
        <w:rPr>
          <w:rFonts w:asciiTheme="minorHAnsi" w:hAnsiTheme="minorHAnsi" w:cstheme="minorHAnsi"/>
          <w:noProof/>
          <w:lang w:val="en-CA"/>
        </w:rPr>
        <mc:AlternateContent>
          <mc:Choice Requires="wps">
            <w:drawing>
              <wp:anchor distT="0" distB="0" distL="114300" distR="114300" simplePos="0" relativeHeight="251697152" behindDoc="0" locked="0" layoutInCell="1" allowOverlap="1" wp14:anchorId="0049BB60" wp14:editId="6222ABA3">
                <wp:simplePos x="0" y="0"/>
                <wp:positionH relativeFrom="column">
                  <wp:posOffset>3188970</wp:posOffset>
                </wp:positionH>
                <wp:positionV relativeFrom="paragraph">
                  <wp:posOffset>1522730</wp:posOffset>
                </wp:positionV>
                <wp:extent cx="2621280" cy="243840"/>
                <wp:effectExtent l="0" t="0" r="7620" b="3810"/>
                <wp:wrapSquare wrapText="bothSides"/>
                <wp:docPr id="3" name="Text Box 3"/>
                <wp:cNvGraphicFramePr/>
                <a:graphic xmlns:a="http://schemas.openxmlformats.org/drawingml/2006/main">
                  <a:graphicData uri="http://schemas.microsoft.com/office/word/2010/wordprocessingShape">
                    <wps:wsp>
                      <wps:cNvSpPr txBox="1"/>
                      <wps:spPr>
                        <a:xfrm>
                          <a:off x="0" y="0"/>
                          <a:ext cx="2621280" cy="243840"/>
                        </a:xfrm>
                        <a:prstGeom prst="rect">
                          <a:avLst/>
                        </a:prstGeom>
                        <a:solidFill>
                          <a:sysClr val="window" lastClr="FFFFFF"/>
                        </a:solidFill>
                        <a:ln w="6350">
                          <a:noFill/>
                        </a:ln>
                      </wps:spPr>
                      <wps:txbx>
                        <w:txbxContent>
                          <w:p w14:paraId="4F0CEE90" w14:textId="0974E9CE" w:rsidR="00F552F1" w:rsidRPr="00705FBF" w:rsidRDefault="00F552F1" w:rsidP="001753D3">
                            <w:pPr>
                              <w:rPr>
                                <w:rFonts w:asciiTheme="minorHAnsi" w:hAnsiTheme="minorHAnsi" w:cstheme="minorHAnsi"/>
                                <w:sz w:val="20"/>
                                <w:szCs w:val="20"/>
                                <w:lang w:val="en-CA"/>
                              </w:rPr>
                            </w:pPr>
                            <w:r w:rsidRPr="00705FBF">
                              <w:rPr>
                                <w:rFonts w:asciiTheme="minorHAnsi" w:hAnsiTheme="minorHAnsi" w:cstheme="minorHAnsi"/>
                                <w:sz w:val="20"/>
                                <w:szCs w:val="20"/>
                                <w:lang w:val="en-CA"/>
                              </w:rPr>
                              <w:t xml:space="preserve">Figure </w:t>
                            </w:r>
                            <w:r>
                              <w:rPr>
                                <w:rFonts w:asciiTheme="minorHAnsi" w:hAnsiTheme="minorHAnsi" w:cstheme="minorHAnsi"/>
                                <w:sz w:val="20"/>
                                <w:szCs w:val="20"/>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BB60" id="Text Box 3" o:spid="_x0000_s1029" type="#_x0000_t202" style="position:absolute;margin-left:251.1pt;margin-top:119.9pt;width:206.4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" fillcolor="window" stroked="f" strokeweight=".5pt">
                <v:textbox>
                  <w:txbxContent>
                    <w:p w14:paraId="4F0CEE90" w14:textId="0974E9CE" w:rsidR="00F552F1" w:rsidRPr="00705FBF" w:rsidRDefault="00F552F1" w:rsidP="001753D3">
                      <w:pPr>
                        <w:rPr>
                          <w:rFonts w:asciiTheme="minorHAnsi" w:hAnsiTheme="minorHAnsi" w:cstheme="minorHAnsi"/>
                          <w:sz w:val="20"/>
                          <w:szCs w:val="20"/>
                          <w:lang w:val="en-CA"/>
                        </w:rPr>
                      </w:pPr>
                      <w:r w:rsidRPr="00705FBF">
                        <w:rPr>
                          <w:rFonts w:asciiTheme="minorHAnsi" w:hAnsiTheme="minorHAnsi" w:cstheme="minorHAnsi"/>
                          <w:sz w:val="20"/>
                          <w:szCs w:val="20"/>
                          <w:lang w:val="en-CA"/>
                        </w:rPr>
                        <w:t xml:space="preserve">Figure </w:t>
                      </w:r>
                      <w:r>
                        <w:rPr>
                          <w:rFonts w:asciiTheme="minorHAnsi" w:hAnsiTheme="minorHAnsi" w:cstheme="minorHAnsi"/>
                          <w:sz w:val="20"/>
                          <w:szCs w:val="20"/>
                          <w:lang w:val="en-CA"/>
                        </w:rPr>
                        <w:t>2</w:t>
                      </w:r>
                    </w:p>
                  </w:txbxContent>
                </v:textbox>
                <w10:wrap type="square"/>
              </v:shape>
            </w:pict>
          </mc:Fallback>
        </mc:AlternateContent>
      </w:r>
      <w:r w:rsidR="001753D3" w:rsidRPr="00AB2735">
        <w:rPr>
          <w:rFonts w:asciiTheme="minorHAnsi" w:hAnsiTheme="minorHAnsi" w:cstheme="minorHAnsi"/>
          <w:lang w:val="en-CA"/>
        </w:rPr>
        <w:t>pre-</w:t>
      </w:r>
      <w:r w:rsidR="005C094C" w:rsidRPr="00AB2735">
        <w:rPr>
          <w:rFonts w:asciiTheme="minorHAnsi" w:hAnsiTheme="minorHAnsi" w:cstheme="minorHAnsi"/>
          <w:lang w:val="en-CA"/>
        </w:rPr>
        <w:t>test</w:t>
      </w:r>
      <w:r w:rsidR="001753D3" w:rsidRPr="00AB2735">
        <w:rPr>
          <w:rFonts w:asciiTheme="minorHAnsi" w:hAnsiTheme="minorHAnsi" w:cstheme="minorHAnsi"/>
          <w:lang w:val="en-CA"/>
        </w:rPr>
        <w:t xml:space="preserve"> attitude scores also revealed </w:t>
      </w:r>
      <w:r w:rsidR="003330FA" w:rsidRPr="00AB2735">
        <w:rPr>
          <w:rFonts w:asciiTheme="minorHAnsi" w:hAnsiTheme="minorHAnsi" w:cstheme="minorHAnsi"/>
          <w:lang w:val="en-CA"/>
        </w:rPr>
        <w:t>u</w:t>
      </w:r>
      <w:r w:rsidR="00B865B8" w:rsidRPr="00AB2735">
        <w:rPr>
          <w:rFonts w:asciiTheme="minorHAnsi" w:hAnsiTheme="minorHAnsi" w:cstheme="minorHAnsi"/>
          <w:lang w:val="en-CA"/>
        </w:rPr>
        <w:t>n</w:t>
      </w:r>
      <w:r w:rsidR="001753D3" w:rsidRPr="00AB2735">
        <w:rPr>
          <w:rFonts w:asciiTheme="minorHAnsi" w:hAnsiTheme="minorHAnsi" w:cstheme="minorHAnsi"/>
          <w:lang w:val="en-CA"/>
        </w:rPr>
        <w:t xml:space="preserve">significant </w:t>
      </w:r>
      <w:r w:rsidR="005C094C" w:rsidRPr="00AB2735">
        <w:rPr>
          <w:rFonts w:asciiTheme="minorHAnsi" w:hAnsiTheme="minorHAnsi" w:cstheme="minorHAnsi"/>
          <w:lang w:val="en-CA"/>
        </w:rPr>
        <w:t>differences between the control group (M=</w:t>
      </w:r>
      <w:r w:rsidR="00B865B8" w:rsidRPr="00AB2735">
        <w:rPr>
          <w:rFonts w:asciiTheme="minorHAnsi" w:hAnsiTheme="minorHAnsi" w:cstheme="minorHAnsi"/>
          <w:lang w:val="en-CA"/>
        </w:rPr>
        <w:t>61.33</w:t>
      </w:r>
      <w:r w:rsidR="005C094C" w:rsidRPr="00AB2735">
        <w:rPr>
          <w:rFonts w:asciiTheme="minorHAnsi" w:hAnsiTheme="minorHAnsi" w:cstheme="minorHAnsi"/>
          <w:lang w:val="en-CA"/>
        </w:rPr>
        <w:t>;</w:t>
      </w:r>
      <w:r w:rsidR="00B865B8" w:rsidRPr="00AB2735">
        <w:rPr>
          <w:rFonts w:asciiTheme="minorHAnsi" w:hAnsiTheme="minorHAnsi" w:cstheme="minorHAnsi"/>
          <w:lang w:val="en-CA"/>
        </w:rPr>
        <w:t xml:space="preserve"> </w:t>
      </w:r>
      <w:r w:rsidR="005C094C" w:rsidRPr="00AB2735">
        <w:rPr>
          <w:rFonts w:asciiTheme="minorHAnsi" w:hAnsiTheme="minorHAnsi" w:cstheme="minorHAnsi"/>
          <w:lang w:val="en-CA"/>
        </w:rPr>
        <w:t>SD=</w:t>
      </w:r>
      <w:r w:rsidR="00B865B8" w:rsidRPr="00AB2735">
        <w:rPr>
          <w:rFonts w:asciiTheme="minorHAnsi" w:hAnsiTheme="minorHAnsi" w:cstheme="minorHAnsi"/>
          <w:lang w:val="en-CA"/>
        </w:rPr>
        <w:t>10.72</w:t>
      </w:r>
      <w:r w:rsidR="005C094C" w:rsidRPr="00AB2735">
        <w:rPr>
          <w:rFonts w:asciiTheme="minorHAnsi" w:hAnsiTheme="minorHAnsi" w:cstheme="minorHAnsi"/>
          <w:lang w:val="en-CA"/>
        </w:rPr>
        <w:t>) and the experimental group (M=</w:t>
      </w:r>
      <w:r w:rsidR="00B865B8" w:rsidRPr="00AB2735">
        <w:rPr>
          <w:rFonts w:asciiTheme="minorHAnsi" w:hAnsiTheme="minorHAnsi" w:cstheme="minorHAnsi"/>
          <w:lang w:val="en-CA"/>
        </w:rPr>
        <w:t>66.27</w:t>
      </w:r>
      <w:r w:rsidR="005C094C" w:rsidRPr="00AB2735">
        <w:rPr>
          <w:rFonts w:asciiTheme="minorHAnsi" w:hAnsiTheme="minorHAnsi" w:cstheme="minorHAnsi"/>
          <w:lang w:val="en-CA"/>
        </w:rPr>
        <w:t>;</w:t>
      </w:r>
      <w:r w:rsidR="00B865B8" w:rsidRPr="00AB2735">
        <w:rPr>
          <w:rFonts w:asciiTheme="minorHAnsi" w:hAnsiTheme="minorHAnsi" w:cstheme="minorHAnsi"/>
          <w:lang w:val="en-CA"/>
        </w:rPr>
        <w:t xml:space="preserve"> </w:t>
      </w:r>
      <w:r w:rsidR="005C094C" w:rsidRPr="00AB2735">
        <w:rPr>
          <w:rFonts w:asciiTheme="minorHAnsi" w:hAnsiTheme="minorHAnsi" w:cstheme="minorHAnsi"/>
          <w:lang w:val="en-CA"/>
        </w:rPr>
        <w:t>SD=</w:t>
      </w:r>
      <w:r w:rsidR="00B865B8" w:rsidRPr="00AB2735">
        <w:rPr>
          <w:rFonts w:asciiTheme="minorHAnsi" w:hAnsiTheme="minorHAnsi" w:cstheme="minorHAnsi"/>
          <w:lang w:val="en-CA"/>
        </w:rPr>
        <w:t>11.79</w:t>
      </w:r>
      <w:r w:rsidR="005C094C" w:rsidRPr="00AB2735">
        <w:rPr>
          <w:rFonts w:asciiTheme="minorHAnsi" w:hAnsiTheme="minorHAnsi" w:cstheme="minorHAnsi"/>
          <w:lang w:val="en-CA"/>
        </w:rPr>
        <w:t>)</w:t>
      </w:r>
      <w:r w:rsidR="001753D3" w:rsidRPr="00AB2735">
        <w:rPr>
          <w:rFonts w:asciiTheme="minorHAnsi" w:hAnsiTheme="minorHAnsi" w:cstheme="minorHAnsi"/>
          <w:lang w:val="en-CA"/>
        </w:rPr>
        <w:t xml:space="preserve"> </w:t>
      </w:r>
      <w:proofErr w:type="gramStart"/>
      <w:r w:rsidR="001753D3" w:rsidRPr="00AB2735">
        <w:rPr>
          <w:rFonts w:asciiTheme="minorHAnsi" w:hAnsiTheme="minorHAnsi" w:cstheme="minorHAnsi"/>
          <w:i/>
          <w:iCs/>
        </w:rPr>
        <w:t>t</w:t>
      </w:r>
      <w:r w:rsidR="001753D3" w:rsidRPr="00AB2735">
        <w:rPr>
          <w:rFonts w:asciiTheme="minorHAnsi" w:hAnsiTheme="minorHAnsi" w:cstheme="minorHAnsi"/>
        </w:rPr>
        <w:t>(</w:t>
      </w:r>
      <w:proofErr w:type="gramEnd"/>
      <w:r w:rsidR="001753D3" w:rsidRPr="00AB2735">
        <w:rPr>
          <w:rFonts w:asciiTheme="minorHAnsi" w:hAnsiTheme="minorHAnsi" w:cstheme="minorHAnsi"/>
        </w:rPr>
        <w:t>6</w:t>
      </w:r>
      <w:r w:rsidR="00B865B8" w:rsidRPr="00AB2735">
        <w:rPr>
          <w:rFonts w:asciiTheme="minorHAnsi" w:hAnsiTheme="minorHAnsi" w:cstheme="minorHAnsi"/>
        </w:rPr>
        <w:t>5</w:t>
      </w:r>
      <w:r w:rsidR="001753D3" w:rsidRPr="00AB2735">
        <w:rPr>
          <w:rFonts w:asciiTheme="minorHAnsi" w:hAnsiTheme="minorHAnsi" w:cstheme="minorHAnsi"/>
        </w:rPr>
        <w:t>) = -</w:t>
      </w:r>
      <w:r w:rsidR="00B865B8" w:rsidRPr="00AB2735">
        <w:rPr>
          <w:rFonts w:asciiTheme="minorHAnsi" w:hAnsiTheme="minorHAnsi" w:cstheme="minorHAnsi"/>
        </w:rPr>
        <w:t>1</w:t>
      </w:r>
      <w:r w:rsidR="001753D3" w:rsidRPr="00AB2735">
        <w:rPr>
          <w:rFonts w:asciiTheme="minorHAnsi" w:hAnsiTheme="minorHAnsi" w:cstheme="minorHAnsi"/>
        </w:rPr>
        <w:t>.</w:t>
      </w:r>
      <w:r w:rsidR="00B865B8" w:rsidRPr="00AB2735">
        <w:rPr>
          <w:rFonts w:asciiTheme="minorHAnsi" w:hAnsiTheme="minorHAnsi" w:cstheme="minorHAnsi"/>
        </w:rPr>
        <w:t>775</w:t>
      </w:r>
      <w:r w:rsidR="001753D3" w:rsidRPr="00AB2735">
        <w:rPr>
          <w:rFonts w:asciiTheme="minorHAnsi" w:hAnsiTheme="minorHAnsi" w:cstheme="minorHAnsi"/>
        </w:rPr>
        <w:t xml:space="preserve">, </w:t>
      </w:r>
      <w:r w:rsidR="001753D3" w:rsidRPr="00AB2735">
        <w:rPr>
          <w:rFonts w:asciiTheme="minorHAnsi" w:hAnsiTheme="minorHAnsi" w:cstheme="minorHAnsi"/>
          <w:i/>
          <w:iCs/>
        </w:rPr>
        <w:t>p</w:t>
      </w:r>
      <w:r w:rsidR="001753D3" w:rsidRPr="00AB2735">
        <w:rPr>
          <w:rFonts w:asciiTheme="minorHAnsi" w:hAnsiTheme="minorHAnsi" w:cstheme="minorHAnsi"/>
        </w:rPr>
        <w:t>=.</w:t>
      </w:r>
      <w:r w:rsidR="00B865B8" w:rsidRPr="00AB2735">
        <w:rPr>
          <w:rFonts w:asciiTheme="minorHAnsi" w:hAnsiTheme="minorHAnsi" w:cstheme="minorHAnsi"/>
        </w:rPr>
        <w:t>081</w:t>
      </w:r>
      <w:r w:rsidR="004B32CE" w:rsidRPr="00AB2735">
        <w:rPr>
          <w:rFonts w:asciiTheme="minorHAnsi" w:hAnsiTheme="minorHAnsi" w:cstheme="minorHAnsi"/>
        </w:rPr>
        <w:t xml:space="preserve">, showing </w:t>
      </w:r>
      <w:r w:rsidR="00987F01" w:rsidRPr="00AB2735">
        <w:rPr>
          <w:rFonts w:asciiTheme="minorHAnsi" w:hAnsiTheme="minorHAnsi" w:cstheme="minorHAnsi"/>
        </w:rPr>
        <w:t>relatively similar attitudes at baseline between two groups</w:t>
      </w:r>
      <w:r w:rsidR="001753D3" w:rsidRPr="00AB2735">
        <w:rPr>
          <w:rFonts w:asciiTheme="minorHAnsi" w:hAnsiTheme="minorHAnsi" w:cstheme="minorHAnsi"/>
          <w:lang w:val="en-CA"/>
        </w:rPr>
        <w:t xml:space="preserve"> (see Figure </w:t>
      </w:r>
      <w:r w:rsidR="00553BDF" w:rsidRPr="00AB2735">
        <w:rPr>
          <w:rFonts w:asciiTheme="minorHAnsi" w:hAnsiTheme="minorHAnsi" w:cstheme="minorHAnsi"/>
          <w:lang w:val="en-CA"/>
        </w:rPr>
        <w:t>2</w:t>
      </w:r>
      <w:r w:rsidR="001753D3" w:rsidRPr="00AB2735">
        <w:rPr>
          <w:rFonts w:asciiTheme="minorHAnsi" w:hAnsiTheme="minorHAnsi" w:cstheme="minorHAnsi"/>
          <w:lang w:val="en-CA"/>
        </w:rPr>
        <w:t>)</w:t>
      </w:r>
      <w:r w:rsidR="005C094C" w:rsidRPr="00AB2735">
        <w:rPr>
          <w:rFonts w:asciiTheme="minorHAnsi" w:hAnsiTheme="minorHAnsi" w:cstheme="minorHAnsi"/>
          <w:lang w:val="en-CA"/>
        </w:rPr>
        <w:t xml:space="preserve">. </w:t>
      </w:r>
      <w:r w:rsidR="00B83AFD" w:rsidRPr="00AB2735">
        <w:rPr>
          <w:rFonts w:asciiTheme="minorHAnsi" w:hAnsiTheme="minorHAnsi" w:cstheme="minorHAnsi"/>
          <w:lang w:val="en-CA"/>
        </w:rPr>
        <w:t>Average p</w:t>
      </w:r>
      <w:r w:rsidR="005C094C" w:rsidRPr="00AB2735">
        <w:rPr>
          <w:rFonts w:asciiTheme="minorHAnsi" w:hAnsiTheme="minorHAnsi" w:cstheme="minorHAnsi"/>
          <w:lang w:val="en-CA"/>
        </w:rPr>
        <w:t>ost-test attitude scores were</w:t>
      </w:r>
      <w:r w:rsidR="00B865B8" w:rsidRPr="00AB2735">
        <w:rPr>
          <w:rFonts w:asciiTheme="minorHAnsi" w:hAnsiTheme="minorHAnsi" w:cstheme="minorHAnsi"/>
          <w:lang w:val="en-CA"/>
        </w:rPr>
        <w:t>, however,</w:t>
      </w:r>
      <w:r w:rsidR="005C094C" w:rsidRPr="00AB2735">
        <w:rPr>
          <w:rFonts w:asciiTheme="minorHAnsi" w:hAnsiTheme="minorHAnsi" w:cstheme="minorHAnsi"/>
          <w:lang w:val="en-CA"/>
        </w:rPr>
        <w:t xml:space="preserve"> </w:t>
      </w:r>
      <w:r w:rsidR="00444DCC" w:rsidRPr="00AB2735">
        <w:rPr>
          <w:rFonts w:asciiTheme="minorHAnsi" w:hAnsiTheme="minorHAnsi" w:cstheme="minorHAnsi"/>
          <w:lang w:val="en-CA"/>
        </w:rPr>
        <w:t xml:space="preserve">statistically </w:t>
      </w:r>
      <w:r w:rsidR="005C094C" w:rsidRPr="00AB2735">
        <w:rPr>
          <w:rFonts w:asciiTheme="minorHAnsi" w:hAnsiTheme="minorHAnsi" w:cstheme="minorHAnsi"/>
          <w:lang w:val="en-CA"/>
        </w:rPr>
        <w:t xml:space="preserve">significantly different between the control group </w:t>
      </w:r>
      <w:r w:rsidR="00B83AFD" w:rsidRPr="00AB2735">
        <w:rPr>
          <w:rFonts w:asciiTheme="minorHAnsi" w:hAnsiTheme="minorHAnsi" w:cstheme="minorHAnsi"/>
          <w:lang w:val="en-CA"/>
        </w:rPr>
        <w:t>(M=</w:t>
      </w:r>
      <w:r w:rsidR="00B865B8" w:rsidRPr="00AB2735">
        <w:rPr>
          <w:rFonts w:asciiTheme="minorHAnsi" w:hAnsiTheme="minorHAnsi" w:cstheme="minorHAnsi"/>
          <w:lang w:val="en-CA"/>
        </w:rPr>
        <w:t>61.10</w:t>
      </w:r>
      <w:r w:rsidR="00B83AFD" w:rsidRPr="00AB2735">
        <w:rPr>
          <w:rFonts w:asciiTheme="minorHAnsi" w:hAnsiTheme="minorHAnsi" w:cstheme="minorHAnsi"/>
          <w:lang w:val="en-CA"/>
        </w:rPr>
        <w:t xml:space="preserve">; </w:t>
      </w:r>
      <w:r w:rsidR="001753D3" w:rsidRPr="00AB2735">
        <w:rPr>
          <w:rFonts w:asciiTheme="minorHAnsi" w:hAnsiTheme="minorHAnsi" w:cstheme="minorHAnsi"/>
          <w:i/>
          <w:lang w:val="en-CA"/>
        </w:rPr>
        <w:t>SD</w:t>
      </w:r>
      <w:r w:rsidR="001753D3" w:rsidRPr="00AB2735">
        <w:rPr>
          <w:rFonts w:asciiTheme="minorHAnsi" w:hAnsiTheme="minorHAnsi" w:cstheme="minorHAnsi"/>
          <w:lang w:val="en-CA"/>
        </w:rPr>
        <w:t>=1</w:t>
      </w:r>
      <w:r w:rsidR="00B865B8" w:rsidRPr="00AB2735">
        <w:rPr>
          <w:rFonts w:asciiTheme="minorHAnsi" w:hAnsiTheme="minorHAnsi" w:cstheme="minorHAnsi"/>
          <w:lang w:val="en-CA"/>
        </w:rPr>
        <w:t>0</w:t>
      </w:r>
      <w:r w:rsidR="001753D3" w:rsidRPr="00AB2735">
        <w:rPr>
          <w:rFonts w:asciiTheme="minorHAnsi" w:hAnsiTheme="minorHAnsi" w:cstheme="minorHAnsi"/>
          <w:lang w:val="en-CA"/>
        </w:rPr>
        <w:t>.</w:t>
      </w:r>
      <w:r w:rsidR="00B865B8" w:rsidRPr="00AB2735">
        <w:rPr>
          <w:rFonts w:asciiTheme="minorHAnsi" w:hAnsiTheme="minorHAnsi" w:cstheme="minorHAnsi"/>
          <w:lang w:val="en-CA"/>
        </w:rPr>
        <w:t>20</w:t>
      </w:r>
      <w:r w:rsidR="001753D3" w:rsidRPr="00AB2735">
        <w:rPr>
          <w:rFonts w:asciiTheme="minorHAnsi" w:hAnsiTheme="minorHAnsi" w:cstheme="minorHAnsi"/>
          <w:lang w:val="en-CA"/>
        </w:rPr>
        <w:t xml:space="preserve">) </w:t>
      </w:r>
      <w:r w:rsidR="00B83AFD" w:rsidRPr="00AB2735">
        <w:rPr>
          <w:rFonts w:asciiTheme="minorHAnsi" w:hAnsiTheme="minorHAnsi" w:cstheme="minorHAnsi"/>
          <w:lang w:val="en-CA"/>
        </w:rPr>
        <w:t>and experimental</w:t>
      </w:r>
      <w:r w:rsidR="001753D3" w:rsidRPr="00AB2735">
        <w:rPr>
          <w:rFonts w:asciiTheme="minorHAnsi" w:hAnsiTheme="minorHAnsi" w:cstheme="minorHAnsi"/>
          <w:lang w:val="en-CA"/>
        </w:rPr>
        <w:t xml:space="preserve"> </w:t>
      </w:r>
      <w:r w:rsidR="00444DCC" w:rsidRPr="00AB2735">
        <w:rPr>
          <w:rFonts w:asciiTheme="minorHAnsi" w:hAnsiTheme="minorHAnsi" w:cstheme="minorHAnsi"/>
          <w:lang w:val="en-CA"/>
        </w:rPr>
        <w:t xml:space="preserve">group </w:t>
      </w:r>
      <w:r w:rsidR="00B83AFD" w:rsidRPr="00AB2735">
        <w:rPr>
          <w:rFonts w:asciiTheme="minorHAnsi" w:hAnsiTheme="minorHAnsi" w:cstheme="minorHAnsi"/>
          <w:lang w:val="en-CA"/>
        </w:rPr>
        <w:t>(M=</w:t>
      </w:r>
      <w:r w:rsidR="001753D3" w:rsidRPr="00AB2735">
        <w:rPr>
          <w:rFonts w:asciiTheme="minorHAnsi" w:hAnsiTheme="minorHAnsi" w:cstheme="minorHAnsi"/>
          <w:lang w:val="en-CA"/>
        </w:rPr>
        <w:t>67.45</w:t>
      </w:r>
      <w:r w:rsidR="00B83AFD" w:rsidRPr="00AB2735">
        <w:rPr>
          <w:rFonts w:asciiTheme="minorHAnsi" w:hAnsiTheme="minorHAnsi" w:cstheme="minorHAnsi"/>
          <w:lang w:val="en-CA"/>
        </w:rPr>
        <w:t xml:space="preserve">; </w:t>
      </w:r>
      <w:r w:rsidR="001753D3" w:rsidRPr="00AB2735">
        <w:rPr>
          <w:rFonts w:asciiTheme="minorHAnsi" w:hAnsiTheme="minorHAnsi" w:cstheme="minorHAnsi"/>
          <w:i/>
          <w:lang w:val="en-CA"/>
        </w:rPr>
        <w:t>SD</w:t>
      </w:r>
      <w:r w:rsidR="001753D3" w:rsidRPr="00AB2735">
        <w:rPr>
          <w:rFonts w:asciiTheme="minorHAnsi" w:hAnsiTheme="minorHAnsi" w:cstheme="minorHAnsi"/>
          <w:lang w:val="en-CA"/>
        </w:rPr>
        <w:t>=11.29) out of 84 after completing the program</w:t>
      </w:r>
      <w:r w:rsidR="00B865B8" w:rsidRPr="00AB2735">
        <w:rPr>
          <w:rFonts w:asciiTheme="minorHAnsi" w:hAnsiTheme="minorHAnsi" w:cstheme="minorHAnsi"/>
          <w:lang w:val="en-CA"/>
        </w:rPr>
        <w:t xml:space="preserve"> </w:t>
      </w:r>
      <w:proofErr w:type="gramStart"/>
      <w:r w:rsidR="00B865B8" w:rsidRPr="00AB2735">
        <w:rPr>
          <w:rFonts w:asciiTheme="minorHAnsi" w:hAnsiTheme="minorHAnsi" w:cstheme="minorHAnsi"/>
          <w:lang w:val="en-CA"/>
        </w:rPr>
        <w:t>t(</w:t>
      </w:r>
      <w:proofErr w:type="gramEnd"/>
      <w:r w:rsidR="004735EB" w:rsidRPr="00AB2735">
        <w:rPr>
          <w:rFonts w:asciiTheme="minorHAnsi" w:hAnsiTheme="minorHAnsi" w:cstheme="minorHAnsi"/>
          <w:lang w:val="en-CA"/>
        </w:rPr>
        <w:t xml:space="preserve">65) = -4.784, </w:t>
      </w:r>
      <w:r w:rsidR="004735EB" w:rsidRPr="00AB2735">
        <w:rPr>
          <w:rFonts w:asciiTheme="minorHAnsi" w:hAnsiTheme="minorHAnsi" w:cstheme="minorHAnsi"/>
          <w:i/>
          <w:iCs/>
          <w:lang w:val="en-CA"/>
        </w:rPr>
        <w:t>p</w:t>
      </w:r>
      <w:r w:rsidR="004735EB" w:rsidRPr="00AB2735">
        <w:rPr>
          <w:rFonts w:asciiTheme="minorHAnsi" w:hAnsiTheme="minorHAnsi" w:cstheme="minorHAnsi"/>
          <w:lang w:val="en-CA"/>
        </w:rPr>
        <w:t xml:space="preserve">=.000, </w:t>
      </w:r>
      <w:r w:rsidR="004735EB" w:rsidRPr="00AB2735">
        <w:rPr>
          <w:rFonts w:asciiTheme="minorHAnsi" w:hAnsiTheme="minorHAnsi" w:cstheme="minorHAnsi"/>
          <w:i/>
          <w:iCs/>
          <w:lang w:val="en-CA"/>
        </w:rPr>
        <w:t>d</w:t>
      </w:r>
      <w:r w:rsidR="004735EB" w:rsidRPr="00AB2735">
        <w:rPr>
          <w:rFonts w:asciiTheme="minorHAnsi" w:hAnsiTheme="minorHAnsi" w:cstheme="minorHAnsi"/>
          <w:lang w:val="en-CA"/>
        </w:rPr>
        <w:t xml:space="preserve">=.59 (medium effect size) (see Figure </w:t>
      </w:r>
      <w:r w:rsidR="00553BDF" w:rsidRPr="00AB2735">
        <w:rPr>
          <w:rFonts w:asciiTheme="minorHAnsi" w:hAnsiTheme="minorHAnsi" w:cstheme="minorHAnsi"/>
          <w:lang w:val="en-CA"/>
        </w:rPr>
        <w:t>2</w:t>
      </w:r>
      <w:r w:rsidR="004735EB" w:rsidRPr="00AB2735">
        <w:rPr>
          <w:rFonts w:asciiTheme="minorHAnsi" w:hAnsiTheme="minorHAnsi" w:cstheme="minorHAnsi"/>
          <w:lang w:val="en-CA"/>
        </w:rPr>
        <w:t>)</w:t>
      </w:r>
      <w:r w:rsidR="001753D3" w:rsidRPr="00AB2735">
        <w:rPr>
          <w:rFonts w:asciiTheme="minorHAnsi" w:hAnsiTheme="minorHAnsi" w:cstheme="minorHAnsi"/>
          <w:lang w:val="en-CA"/>
        </w:rPr>
        <w:t>.</w:t>
      </w:r>
    </w:p>
    <w:p w14:paraId="79533377" w14:textId="2E29B5F4" w:rsidR="005E2E41" w:rsidRPr="00AB2735" w:rsidRDefault="00553BDF" w:rsidP="00CE78F0">
      <w:pPr>
        <w:spacing w:line="360" w:lineRule="auto"/>
        <w:ind w:firstLine="720"/>
        <w:rPr>
          <w:rFonts w:asciiTheme="minorHAnsi" w:hAnsiTheme="minorHAnsi" w:cstheme="minorHAnsi"/>
          <w:lang w:val="en-CA"/>
        </w:rPr>
      </w:pPr>
      <w:r w:rsidRPr="00AB2735">
        <w:rPr>
          <w:rFonts w:asciiTheme="minorHAnsi" w:hAnsiTheme="minorHAnsi" w:cstheme="minorHAnsi"/>
          <w:noProof/>
          <w:lang w:val="en-CA"/>
        </w:rPr>
        <mc:AlternateContent>
          <mc:Choice Requires="wps">
            <w:drawing>
              <wp:anchor distT="0" distB="0" distL="114300" distR="114300" simplePos="0" relativeHeight="251698176" behindDoc="0" locked="0" layoutInCell="1" allowOverlap="1" wp14:anchorId="22555080" wp14:editId="45A63ED2">
                <wp:simplePos x="0" y="0"/>
                <wp:positionH relativeFrom="column">
                  <wp:posOffset>3195320</wp:posOffset>
                </wp:positionH>
                <wp:positionV relativeFrom="paragraph">
                  <wp:posOffset>2046605</wp:posOffset>
                </wp:positionV>
                <wp:extent cx="2621280" cy="243840"/>
                <wp:effectExtent l="0" t="0" r="7620" b="3810"/>
                <wp:wrapSquare wrapText="bothSides"/>
                <wp:docPr id="4" name="Text Box 4"/>
                <wp:cNvGraphicFramePr/>
                <a:graphic xmlns:a="http://schemas.openxmlformats.org/drawingml/2006/main">
                  <a:graphicData uri="http://schemas.microsoft.com/office/word/2010/wordprocessingShape">
                    <wps:wsp>
                      <wps:cNvSpPr txBox="1"/>
                      <wps:spPr>
                        <a:xfrm>
                          <a:off x="0" y="0"/>
                          <a:ext cx="2621280" cy="243840"/>
                        </a:xfrm>
                        <a:prstGeom prst="rect">
                          <a:avLst/>
                        </a:prstGeom>
                        <a:solidFill>
                          <a:sysClr val="window" lastClr="FFFFFF"/>
                        </a:solidFill>
                        <a:ln w="6350">
                          <a:noFill/>
                        </a:ln>
                      </wps:spPr>
                      <wps:txbx>
                        <w:txbxContent>
                          <w:p w14:paraId="415842C1" w14:textId="23F6F261" w:rsidR="00F552F1" w:rsidRPr="00705FBF" w:rsidRDefault="00F552F1" w:rsidP="001753D3">
                            <w:pPr>
                              <w:rPr>
                                <w:rFonts w:asciiTheme="minorHAnsi" w:hAnsiTheme="minorHAnsi" w:cstheme="minorHAnsi"/>
                                <w:sz w:val="20"/>
                                <w:szCs w:val="20"/>
                                <w:lang w:val="en-CA"/>
                              </w:rPr>
                            </w:pPr>
                            <w:r w:rsidRPr="00705FBF">
                              <w:rPr>
                                <w:rFonts w:asciiTheme="minorHAnsi" w:hAnsiTheme="minorHAnsi" w:cstheme="minorHAnsi"/>
                                <w:sz w:val="20"/>
                                <w:szCs w:val="20"/>
                                <w:lang w:val="en-CA"/>
                              </w:rPr>
                              <w:t xml:space="preserve">Figure </w:t>
                            </w:r>
                            <w:r>
                              <w:rPr>
                                <w:rFonts w:asciiTheme="minorHAnsi" w:hAnsiTheme="minorHAnsi" w:cstheme="minorHAnsi"/>
                                <w:sz w:val="20"/>
                                <w:szCs w:val="20"/>
                                <w:lang w:val="en-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55080" id="_x0000_s1030" type="#_x0000_t202" style="position:absolute;left:0;text-align:left;margin-left:251.6pt;margin-top:161.15pt;width:206.4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" fillcolor="window" stroked="f" strokeweight=".5pt">
                <v:textbox>
                  <w:txbxContent>
                    <w:p w14:paraId="415842C1" w14:textId="23F6F261" w:rsidR="00F552F1" w:rsidRPr="00705FBF" w:rsidRDefault="00F552F1" w:rsidP="001753D3">
                      <w:pPr>
                        <w:rPr>
                          <w:rFonts w:asciiTheme="minorHAnsi" w:hAnsiTheme="minorHAnsi" w:cstheme="minorHAnsi"/>
                          <w:sz w:val="20"/>
                          <w:szCs w:val="20"/>
                          <w:lang w:val="en-CA"/>
                        </w:rPr>
                      </w:pPr>
                      <w:r w:rsidRPr="00705FBF">
                        <w:rPr>
                          <w:rFonts w:asciiTheme="minorHAnsi" w:hAnsiTheme="minorHAnsi" w:cstheme="minorHAnsi"/>
                          <w:sz w:val="20"/>
                          <w:szCs w:val="20"/>
                          <w:lang w:val="en-CA"/>
                        </w:rPr>
                        <w:t xml:space="preserve">Figure </w:t>
                      </w:r>
                      <w:r>
                        <w:rPr>
                          <w:rFonts w:asciiTheme="minorHAnsi" w:hAnsiTheme="minorHAnsi" w:cstheme="minorHAnsi"/>
                          <w:sz w:val="20"/>
                          <w:szCs w:val="20"/>
                          <w:lang w:val="en-CA"/>
                        </w:rPr>
                        <w:t>3</w:t>
                      </w:r>
                    </w:p>
                  </w:txbxContent>
                </v:textbox>
                <w10:wrap type="square"/>
              </v:shape>
            </w:pict>
          </mc:Fallback>
        </mc:AlternateContent>
      </w:r>
      <w:r w:rsidRPr="00AB2735">
        <w:rPr>
          <w:rFonts w:asciiTheme="minorHAnsi" w:hAnsiTheme="minorHAnsi" w:cstheme="minorHAnsi"/>
          <w:noProof/>
          <w:lang w:val="en-CA" w:eastAsia="en-CA"/>
        </w:rPr>
        <w:drawing>
          <wp:anchor distT="0" distB="0" distL="114300" distR="114300" simplePos="0" relativeHeight="251695104" behindDoc="0" locked="0" layoutInCell="1" allowOverlap="1" wp14:anchorId="312DD8E7" wp14:editId="2E902321">
            <wp:simplePos x="0" y="0"/>
            <wp:positionH relativeFrom="column">
              <wp:posOffset>3196590</wp:posOffset>
            </wp:positionH>
            <wp:positionV relativeFrom="paragraph">
              <wp:posOffset>102870</wp:posOffset>
            </wp:positionV>
            <wp:extent cx="2691765" cy="1889760"/>
            <wp:effectExtent l="0" t="0" r="13335"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A02B7" w:rsidRPr="00AB2735">
        <w:rPr>
          <w:rFonts w:asciiTheme="minorHAnsi" w:hAnsiTheme="minorHAnsi" w:cstheme="minorHAnsi"/>
          <w:noProof/>
          <w:lang w:val="en-CA" w:eastAsia="en-CA"/>
        </w:rPr>
        <w:t>Statistical</w:t>
      </w:r>
      <w:r w:rsidR="001753D3" w:rsidRPr="00AB2735">
        <w:rPr>
          <w:rFonts w:asciiTheme="minorHAnsi" w:hAnsiTheme="minorHAnsi" w:cstheme="minorHAnsi"/>
          <w:lang w:val="en-CA"/>
        </w:rPr>
        <w:t xml:space="preserve"> evaluation of the pre-session </w:t>
      </w:r>
      <w:r w:rsidR="003A02B7" w:rsidRPr="00AB2735">
        <w:rPr>
          <w:rFonts w:asciiTheme="minorHAnsi" w:hAnsiTheme="minorHAnsi" w:cstheme="minorHAnsi"/>
          <w:lang w:val="en-CA"/>
        </w:rPr>
        <w:t xml:space="preserve">average </w:t>
      </w:r>
      <w:r w:rsidR="001753D3" w:rsidRPr="00AB2735">
        <w:rPr>
          <w:rFonts w:asciiTheme="minorHAnsi" w:hAnsiTheme="minorHAnsi" w:cstheme="minorHAnsi"/>
          <w:lang w:val="en-CA"/>
        </w:rPr>
        <w:t>help-seeking scores</w:t>
      </w:r>
      <w:r w:rsidR="003A02B7" w:rsidRPr="00AB2735">
        <w:rPr>
          <w:rFonts w:asciiTheme="minorHAnsi" w:hAnsiTheme="minorHAnsi" w:cstheme="minorHAnsi"/>
          <w:lang w:val="en-CA"/>
        </w:rPr>
        <w:t xml:space="preserve"> between the control group (M=</w:t>
      </w:r>
      <w:r w:rsidR="00C90123" w:rsidRPr="00AB2735">
        <w:rPr>
          <w:rFonts w:asciiTheme="minorHAnsi" w:hAnsiTheme="minorHAnsi" w:cstheme="minorHAnsi"/>
          <w:lang w:val="en-CA"/>
        </w:rPr>
        <w:t>25.70</w:t>
      </w:r>
      <w:r w:rsidR="003A02B7" w:rsidRPr="00AB2735">
        <w:rPr>
          <w:rFonts w:asciiTheme="minorHAnsi" w:hAnsiTheme="minorHAnsi" w:cstheme="minorHAnsi"/>
          <w:lang w:val="en-CA"/>
        </w:rPr>
        <w:t>;</w:t>
      </w:r>
      <w:r w:rsidR="00C90123" w:rsidRPr="00AB2735">
        <w:rPr>
          <w:rFonts w:asciiTheme="minorHAnsi" w:hAnsiTheme="minorHAnsi" w:cstheme="minorHAnsi"/>
          <w:lang w:val="en-CA"/>
        </w:rPr>
        <w:t xml:space="preserve"> </w:t>
      </w:r>
      <w:r w:rsidR="003A02B7" w:rsidRPr="00AB2735">
        <w:rPr>
          <w:rFonts w:asciiTheme="minorHAnsi" w:hAnsiTheme="minorHAnsi" w:cstheme="minorHAnsi"/>
          <w:lang w:val="en-CA"/>
        </w:rPr>
        <w:t>SD=</w:t>
      </w:r>
      <w:r w:rsidR="00C90123" w:rsidRPr="00AB2735">
        <w:rPr>
          <w:rFonts w:asciiTheme="minorHAnsi" w:hAnsiTheme="minorHAnsi" w:cstheme="minorHAnsi"/>
          <w:lang w:val="en-CA"/>
        </w:rPr>
        <w:t>5.81</w:t>
      </w:r>
      <w:r w:rsidR="003A02B7" w:rsidRPr="00AB2735">
        <w:rPr>
          <w:rFonts w:asciiTheme="minorHAnsi" w:hAnsiTheme="minorHAnsi" w:cstheme="minorHAnsi"/>
          <w:lang w:val="en-CA"/>
        </w:rPr>
        <w:t>) and the experimental group (M=</w:t>
      </w:r>
      <w:r w:rsidR="00C90123" w:rsidRPr="00AB2735">
        <w:rPr>
          <w:rFonts w:asciiTheme="minorHAnsi" w:hAnsiTheme="minorHAnsi" w:cstheme="minorHAnsi"/>
          <w:lang w:val="en-CA"/>
        </w:rPr>
        <w:t>28.76</w:t>
      </w:r>
      <w:r w:rsidR="003A02B7" w:rsidRPr="00AB2735">
        <w:rPr>
          <w:rFonts w:asciiTheme="minorHAnsi" w:hAnsiTheme="minorHAnsi" w:cstheme="minorHAnsi"/>
          <w:lang w:val="en-CA"/>
        </w:rPr>
        <w:t>;</w:t>
      </w:r>
      <w:r w:rsidR="00C90123" w:rsidRPr="00AB2735">
        <w:rPr>
          <w:rFonts w:asciiTheme="minorHAnsi" w:hAnsiTheme="minorHAnsi" w:cstheme="minorHAnsi"/>
          <w:lang w:val="en-CA"/>
        </w:rPr>
        <w:t xml:space="preserve"> </w:t>
      </w:r>
      <w:r w:rsidR="003A02B7" w:rsidRPr="00AB2735">
        <w:rPr>
          <w:rFonts w:asciiTheme="minorHAnsi" w:hAnsiTheme="minorHAnsi" w:cstheme="minorHAnsi"/>
          <w:lang w:val="en-CA"/>
        </w:rPr>
        <w:t>SD=</w:t>
      </w:r>
      <w:r w:rsidR="00C90123" w:rsidRPr="00AB2735">
        <w:rPr>
          <w:rFonts w:asciiTheme="minorHAnsi" w:hAnsiTheme="minorHAnsi" w:cstheme="minorHAnsi"/>
          <w:lang w:val="en-CA"/>
        </w:rPr>
        <w:t>4.63</w:t>
      </w:r>
      <w:r w:rsidR="003A02B7" w:rsidRPr="00AB2735">
        <w:rPr>
          <w:rFonts w:asciiTheme="minorHAnsi" w:hAnsiTheme="minorHAnsi" w:cstheme="minorHAnsi"/>
          <w:lang w:val="en-CA"/>
        </w:rPr>
        <w:t>)</w:t>
      </w:r>
      <w:r w:rsidR="001753D3" w:rsidRPr="00AB2735">
        <w:rPr>
          <w:rFonts w:asciiTheme="minorHAnsi" w:hAnsiTheme="minorHAnsi" w:cstheme="minorHAnsi"/>
          <w:lang w:val="en-CA"/>
        </w:rPr>
        <w:t xml:space="preserve"> reveal</w:t>
      </w:r>
      <w:r w:rsidR="00C90123" w:rsidRPr="00AB2735">
        <w:rPr>
          <w:rFonts w:asciiTheme="minorHAnsi" w:hAnsiTheme="minorHAnsi" w:cstheme="minorHAnsi"/>
          <w:lang w:val="en-CA"/>
        </w:rPr>
        <w:t>ed</w:t>
      </w:r>
      <w:r w:rsidR="001753D3" w:rsidRPr="00AB2735">
        <w:rPr>
          <w:rFonts w:asciiTheme="minorHAnsi" w:hAnsiTheme="minorHAnsi" w:cstheme="minorHAnsi"/>
          <w:lang w:val="en-CA"/>
        </w:rPr>
        <w:t xml:space="preserve"> a significant result </w:t>
      </w:r>
      <w:proofErr w:type="gramStart"/>
      <w:r w:rsidR="001753D3" w:rsidRPr="00AB2735">
        <w:rPr>
          <w:rFonts w:asciiTheme="minorHAnsi" w:hAnsiTheme="minorHAnsi" w:cstheme="minorHAnsi"/>
          <w:i/>
          <w:iCs/>
        </w:rPr>
        <w:t>t</w:t>
      </w:r>
      <w:r w:rsidR="001753D3" w:rsidRPr="00AB2735">
        <w:rPr>
          <w:rFonts w:asciiTheme="minorHAnsi" w:hAnsiTheme="minorHAnsi" w:cstheme="minorHAnsi"/>
        </w:rPr>
        <w:t>(</w:t>
      </w:r>
      <w:proofErr w:type="gramEnd"/>
      <w:r w:rsidR="001753D3" w:rsidRPr="00AB2735">
        <w:rPr>
          <w:rFonts w:asciiTheme="minorHAnsi" w:hAnsiTheme="minorHAnsi" w:cstheme="minorHAnsi"/>
        </w:rPr>
        <w:t>65) = -</w:t>
      </w:r>
      <w:r w:rsidR="00C90123" w:rsidRPr="00AB2735">
        <w:rPr>
          <w:rFonts w:asciiTheme="minorHAnsi" w:hAnsiTheme="minorHAnsi" w:cstheme="minorHAnsi"/>
        </w:rPr>
        <w:t>2.397</w:t>
      </w:r>
      <w:r w:rsidR="001753D3" w:rsidRPr="00AB2735">
        <w:rPr>
          <w:rFonts w:asciiTheme="minorHAnsi" w:hAnsiTheme="minorHAnsi" w:cstheme="minorHAnsi"/>
        </w:rPr>
        <w:t xml:space="preserve">, </w:t>
      </w:r>
      <w:r w:rsidR="001753D3" w:rsidRPr="00AB2735">
        <w:rPr>
          <w:rFonts w:asciiTheme="minorHAnsi" w:hAnsiTheme="minorHAnsi" w:cstheme="minorHAnsi"/>
          <w:i/>
          <w:iCs/>
        </w:rPr>
        <w:t>p</w:t>
      </w:r>
      <w:r w:rsidR="001753D3" w:rsidRPr="00AB2735">
        <w:rPr>
          <w:rFonts w:asciiTheme="minorHAnsi" w:hAnsiTheme="minorHAnsi" w:cstheme="minorHAnsi"/>
        </w:rPr>
        <w:t>=.</w:t>
      </w:r>
      <w:r w:rsidR="00C90123" w:rsidRPr="00AB2735">
        <w:rPr>
          <w:rFonts w:asciiTheme="minorHAnsi" w:hAnsiTheme="minorHAnsi" w:cstheme="minorHAnsi"/>
        </w:rPr>
        <w:t xml:space="preserve">019, </w:t>
      </w:r>
      <w:r w:rsidR="00C90123" w:rsidRPr="00AB2735">
        <w:rPr>
          <w:rFonts w:asciiTheme="minorHAnsi" w:hAnsiTheme="minorHAnsi" w:cstheme="minorHAnsi"/>
          <w:i/>
          <w:iCs/>
        </w:rPr>
        <w:t>d</w:t>
      </w:r>
      <w:r w:rsidR="00C90123" w:rsidRPr="00AB2735">
        <w:rPr>
          <w:rFonts w:asciiTheme="minorHAnsi" w:hAnsiTheme="minorHAnsi" w:cstheme="minorHAnsi"/>
        </w:rPr>
        <w:t>=.66 (medium effect size)</w:t>
      </w:r>
      <w:r w:rsidR="005C46AA" w:rsidRPr="00AB2735">
        <w:rPr>
          <w:rFonts w:asciiTheme="minorHAnsi" w:hAnsiTheme="minorHAnsi" w:cstheme="minorHAnsi"/>
        </w:rPr>
        <w:t>, suggesting a difference in pre-test scores between the two groups</w:t>
      </w:r>
      <w:r w:rsidR="001753D3" w:rsidRPr="00AB2735">
        <w:rPr>
          <w:rFonts w:asciiTheme="minorHAnsi" w:hAnsiTheme="minorHAnsi" w:cstheme="minorHAnsi"/>
        </w:rPr>
        <w:t xml:space="preserve"> (see Figure </w:t>
      </w:r>
      <w:r w:rsidRPr="00AB2735">
        <w:rPr>
          <w:rFonts w:asciiTheme="minorHAnsi" w:hAnsiTheme="minorHAnsi" w:cstheme="minorHAnsi"/>
        </w:rPr>
        <w:t>3</w:t>
      </w:r>
      <w:r w:rsidR="001753D3" w:rsidRPr="00AB2735">
        <w:rPr>
          <w:rFonts w:asciiTheme="minorHAnsi" w:hAnsiTheme="minorHAnsi" w:cstheme="minorHAnsi"/>
        </w:rPr>
        <w:t>)</w:t>
      </w:r>
      <w:r w:rsidR="001753D3" w:rsidRPr="00AB2735">
        <w:rPr>
          <w:rFonts w:asciiTheme="minorHAnsi" w:hAnsiTheme="minorHAnsi" w:cstheme="minorHAnsi"/>
          <w:lang w:val="en-CA"/>
        </w:rPr>
        <w:t xml:space="preserve">. </w:t>
      </w:r>
      <w:r w:rsidR="00C90123" w:rsidRPr="00AB2735">
        <w:rPr>
          <w:rFonts w:asciiTheme="minorHAnsi" w:hAnsiTheme="minorHAnsi" w:cstheme="minorHAnsi"/>
          <w:lang w:val="en-CA"/>
        </w:rPr>
        <w:t xml:space="preserve">Post-session scores also revealed a </w:t>
      </w:r>
      <w:r w:rsidR="005C46AA" w:rsidRPr="00AB2735">
        <w:rPr>
          <w:rFonts w:asciiTheme="minorHAnsi" w:hAnsiTheme="minorHAnsi" w:cstheme="minorHAnsi"/>
          <w:lang w:val="en-CA"/>
        </w:rPr>
        <w:t xml:space="preserve">statistically </w:t>
      </w:r>
      <w:r w:rsidR="00C90123" w:rsidRPr="00AB2735">
        <w:rPr>
          <w:rFonts w:asciiTheme="minorHAnsi" w:hAnsiTheme="minorHAnsi" w:cstheme="minorHAnsi"/>
          <w:lang w:val="en-CA"/>
        </w:rPr>
        <w:t xml:space="preserve">significant </w:t>
      </w:r>
      <w:r w:rsidR="005C46AA" w:rsidRPr="00AB2735">
        <w:rPr>
          <w:rFonts w:asciiTheme="minorHAnsi" w:hAnsiTheme="minorHAnsi" w:cstheme="minorHAnsi"/>
          <w:lang w:val="en-CA"/>
        </w:rPr>
        <w:t>difference between the groups</w:t>
      </w:r>
      <w:r w:rsidR="00C90123" w:rsidRPr="00AB2735">
        <w:rPr>
          <w:rFonts w:asciiTheme="minorHAnsi" w:hAnsiTheme="minorHAnsi" w:cstheme="minorHAnsi"/>
          <w:lang w:val="en-CA"/>
        </w:rPr>
        <w:t xml:space="preserve"> </w:t>
      </w:r>
      <w:proofErr w:type="gramStart"/>
      <w:r w:rsidR="00C90123" w:rsidRPr="00AB2735">
        <w:rPr>
          <w:rFonts w:asciiTheme="minorHAnsi" w:hAnsiTheme="minorHAnsi" w:cstheme="minorHAnsi"/>
          <w:lang w:val="en-CA"/>
        </w:rPr>
        <w:t>t</w:t>
      </w:r>
      <w:r w:rsidR="002B0EE7" w:rsidRPr="00AB2735">
        <w:rPr>
          <w:rFonts w:asciiTheme="minorHAnsi" w:hAnsiTheme="minorHAnsi" w:cstheme="minorHAnsi"/>
          <w:lang w:val="en-CA"/>
        </w:rPr>
        <w:t>(</w:t>
      </w:r>
      <w:proofErr w:type="gramEnd"/>
      <w:r w:rsidR="002B0EE7" w:rsidRPr="00AB2735">
        <w:rPr>
          <w:rFonts w:asciiTheme="minorHAnsi" w:hAnsiTheme="minorHAnsi" w:cstheme="minorHAnsi"/>
          <w:lang w:val="en-CA"/>
        </w:rPr>
        <w:t xml:space="preserve">64) </w:t>
      </w:r>
      <w:r w:rsidR="00C90123" w:rsidRPr="00AB2735">
        <w:rPr>
          <w:rFonts w:asciiTheme="minorHAnsi" w:hAnsiTheme="minorHAnsi" w:cstheme="minorHAnsi"/>
          <w:lang w:val="en-CA"/>
        </w:rPr>
        <w:t>=</w:t>
      </w:r>
      <w:r w:rsidR="002B0EE7" w:rsidRPr="00AB2735">
        <w:rPr>
          <w:rFonts w:asciiTheme="minorHAnsi" w:hAnsiTheme="minorHAnsi" w:cstheme="minorHAnsi"/>
          <w:lang w:val="en-CA"/>
        </w:rPr>
        <w:t xml:space="preserve"> </w:t>
      </w:r>
      <w:r w:rsidR="00C90123" w:rsidRPr="00AB2735">
        <w:rPr>
          <w:rFonts w:asciiTheme="minorHAnsi" w:hAnsiTheme="minorHAnsi" w:cstheme="minorHAnsi"/>
          <w:lang w:val="en-CA"/>
        </w:rPr>
        <w:t xml:space="preserve">-2.521, </w:t>
      </w:r>
      <w:r w:rsidR="002B0EE7" w:rsidRPr="00AB2735">
        <w:rPr>
          <w:rFonts w:asciiTheme="minorHAnsi" w:hAnsiTheme="minorHAnsi" w:cstheme="minorHAnsi"/>
          <w:i/>
          <w:iCs/>
          <w:lang w:val="en-CA"/>
        </w:rPr>
        <w:t>p</w:t>
      </w:r>
      <w:r w:rsidR="002B0EE7" w:rsidRPr="00AB2735">
        <w:rPr>
          <w:rFonts w:asciiTheme="minorHAnsi" w:hAnsiTheme="minorHAnsi" w:cstheme="minorHAnsi"/>
          <w:lang w:val="en-CA"/>
        </w:rPr>
        <w:t xml:space="preserve">=.014, </w:t>
      </w:r>
      <w:r w:rsidR="002B0EE7" w:rsidRPr="00AB2735">
        <w:rPr>
          <w:rFonts w:asciiTheme="minorHAnsi" w:hAnsiTheme="minorHAnsi" w:cstheme="minorHAnsi"/>
          <w:i/>
          <w:iCs/>
          <w:lang w:val="en-CA"/>
        </w:rPr>
        <w:t>d</w:t>
      </w:r>
      <w:r w:rsidR="002B0EE7" w:rsidRPr="00AB2735">
        <w:rPr>
          <w:rFonts w:asciiTheme="minorHAnsi" w:hAnsiTheme="minorHAnsi" w:cstheme="minorHAnsi"/>
          <w:lang w:val="en-CA"/>
        </w:rPr>
        <w:t xml:space="preserve">=.62 (medium effect size) (see Figure </w:t>
      </w:r>
      <w:r w:rsidR="003B7FDE" w:rsidRPr="00AB2735">
        <w:rPr>
          <w:rFonts w:asciiTheme="minorHAnsi" w:hAnsiTheme="minorHAnsi" w:cstheme="minorHAnsi"/>
          <w:lang w:val="en-CA"/>
        </w:rPr>
        <w:t>3</w:t>
      </w:r>
      <w:r w:rsidR="002B0EE7" w:rsidRPr="00AB2735">
        <w:rPr>
          <w:rFonts w:asciiTheme="minorHAnsi" w:hAnsiTheme="minorHAnsi" w:cstheme="minorHAnsi"/>
          <w:lang w:val="en-CA"/>
        </w:rPr>
        <w:t xml:space="preserve">). </w:t>
      </w:r>
      <w:r w:rsidR="001753D3" w:rsidRPr="00AB2735">
        <w:rPr>
          <w:rFonts w:asciiTheme="minorHAnsi" w:hAnsiTheme="minorHAnsi" w:cstheme="minorHAnsi"/>
          <w:lang w:val="en-CA"/>
        </w:rPr>
        <w:t>The average p</w:t>
      </w:r>
      <w:r w:rsidR="003A02B7" w:rsidRPr="00AB2735">
        <w:rPr>
          <w:rFonts w:asciiTheme="minorHAnsi" w:hAnsiTheme="minorHAnsi" w:cstheme="minorHAnsi"/>
          <w:lang w:val="en-CA"/>
        </w:rPr>
        <w:t>ost</w:t>
      </w:r>
      <w:r w:rsidR="001753D3" w:rsidRPr="00AB2735">
        <w:rPr>
          <w:rFonts w:asciiTheme="minorHAnsi" w:hAnsiTheme="minorHAnsi" w:cstheme="minorHAnsi"/>
          <w:lang w:val="en-CA"/>
        </w:rPr>
        <w:t xml:space="preserve">-session score </w:t>
      </w:r>
      <w:r w:rsidR="003A02B7" w:rsidRPr="00AB2735">
        <w:rPr>
          <w:rFonts w:asciiTheme="minorHAnsi" w:hAnsiTheme="minorHAnsi" w:cstheme="minorHAnsi"/>
          <w:lang w:val="en-CA"/>
        </w:rPr>
        <w:t>for the control group was</w:t>
      </w:r>
      <w:r w:rsidR="001753D3" w:rsidRPr="00AB2735">
        <w:rPr>
          <w:rFonts w:asciiTheme="minorHAnsi" w:hAnsiTheme="minorHAnsi" w:cstheme="minorHAnsi"/>
          <w:lang w:val="en-CA"/>
        </w:rPr>
        <w:t xml:space="preserve"> 2</w:t>
      </w:r>
      <w:r w:rsidR="002B0EE7" w:rsidRPr="00AB2735">
        <w:rPr>
          <w:rFonts w:asciiTheme="minorHAnsi" w:hAnsiTheme="minorHAnsi" w:cstheme="minorHAnsi"/>
          <w:lang w:val="en-CA"/>
        </w:rPr>
        <w:t>6.00</w:t>
      </w:r>
      <w:r w:rsidR="001753D3" w:rsidRPr="00AB2735">
        <w:rPr>
          <w:rFonts w:asciiTheme="minorHAnsi" w:hAnsiTheme="minorHAnsi" w:cstheme="minorHAnsi"/>
          <w:lang w:val="en-CA"/>
        </w:rPr>
        <w:t xml:space="preserve"> (SD= 5.</w:t>
      </w:r>
      <w:r w:rsidR="002B0EE7" w:rsidRPr="00AB2735">
        <w:rPr>
          <w:rFonts w:asciiTheme="minorHAnsi" w:hAnsiTheme="minorHAnsi" w:cstheme="minorHAnsi"/>
          <w:lang w:val="en-CA"/>
        </w:rPr>
        <w:t>37</w:t>
      </w:r>
      <w:r w:rsidR="001753D3" w:rsidRPr="00AB2735">
        <w:rPr>
          <w:rFonts w:asciiTheme="minorHAnsi" w:hAnsiTheme="minorHAnsi" w:cstheme="minorHAnsi"/>
          <w:lang w:val="en-CA"/>
        </w:rPr>
        <w:t xml:space="preserve">) </w:t>
      </w:r>
      <w:r w:rsidR="00C90123" w:rsidRPr="00AB2735">
        <w:rPr>
          <w:rFonts w:asciiTheme="minorHAnsi" w:hAnsiTheme="minorHAnsi" w:cstheme="minorHAnsi"/>
          <w:lang w:val="en-CA"/>
        </w:rPr>
        <w:t xml:space="preserve">out of 35 </w:t>
      </w:r>
      <w:r w:rsidR="003A02B7" w:rsidRPr="00AB2735">
        <w:rPr>
          <w:rFonts w:asciiTheme="minorHAnsi" w:hAnsiTheme="minorHAnsi" w:cstheme="minorHAnsi"/>
          <w:lang w:val="en-CA"/>
        </w:rPr>
        <w:t>and for the experimental group was</w:t>
      </w:r>
      <w:r w:rsidR="001753D3" w:rsidRPr="00AB2735">
        <w:rPr>
          <w:rFonts w:asciiTheme="minorHAnsi" w:hAnsiTheme="minorHAnsi" w:cstheme="minorHAnsi"/>
          <w:lang w:val="en-CA"/>
        </w:rPr>
        <w:t xml:space="preserve"> 2</w:t>
      </w:r>
      <w:r w:rsidR="002B0EE7" w:rsidRPr="00AB2735">
        <w:rPr>
          <w:rFonts w:asciiTheme="minorHAnsi" w:hAnsiTheme="minorHAnsi" w:cstheme="minorHAnsi"/>
          <w:lang w:val="en-CA"/>
        </w:rPr>
        <w:t>9</w:t>
      </w:r>
      <w:r w:rsidR="001753D3" w:rsidRPr="00AB2735">
        <w:rPr>
          <w:rFonts w:asciiTheme="minorHAnsi" w:hAnsiTheme="minorHAnsi" w:cstheme="minorHAnsi"/>
          <w:lang w:val="en-CA"/>
        </w:rPr>
        <w:t>.</w:t>
      </w:r>
      <w:r w:rsidR="002B0EE7" w:rsidRPr="00AB2735">
        <w:rPr>
          <w:rFonts w:asciiTheme="minorHAnsi" w:hAnsiTheme="minorHAnsi" w:cstheme="minorHAnsi"/>
          <w:lang w:val="en-CA"/>
        </w:rPr>
        <w:t>16</w:t>
      </w:r>
      <w:r w:rsidR="001753D3" w:rsidRPr="00AB2735">
        <w:rPr>
          <w:rFonts w:asciiTheme="minorHAnsi" w:hAnsiTheme="minorHAnsi" w:cstheme="minorHAnsi"/>
          <w:lang w:val="en-CA"/>
        </w:rPr>
        <w:t xml:space="preserve"> (SD= </w:t>
      </w:r>
      <w:r w:rsidR="002B0EE7" w:rsidRPr="00AB2735">
        <w:rPr>
          <w:rFonts w:asciiTheme="minorHAnsi" w:hAnsiTheme="minorHAnsi" w:cstheme="minorHAnsi"/>
          <w:lang w:val="en-CA"/>
        </w:rPr>
        <w:t>4.81</w:t>
      </w:r>
      <w:r w:rsidR="001753D3" w:rsidRPr="00AB2735">
        <w:rPr>
          <w:rFonts w:asciiTheme="minorHAnsi" w:hAnsiTheme="minorHAnsi" w:cstheme="minorHAnsi"/>
          <w:lang w:val="en-CA"/>
        </w:rPr>
        <w:t>) out of a possible 3</w:t>
      </w:r>
      <w:r w:rsidR="003A02B7" w:rsidRPr="00AB2735">
        <w:rPr>
          <w:rFonts w:asciiTheme="minorHAnsi" w:hAnsiTheme="minorHAnsi" w:cstheme="minorHAnsi"/>
          <w:lang w:val="en-CA"/>
        </w:rPr>
        <w:t>5</w:t>
      </w:r>
      <w:r w:rsidR="001753D3" w:rsidRPr="00AB2735">
        <w:rPr>
          <w:rFonts w:asciiTheme="minorHAnsi" w:hAnsiTheme="minorHAnsi" w:cstheme="minorHAnsi"/>
          <w:lang w:val="en-CA"/>
        </w:rPr>
        <w:t xml:space="preserve"> questions</w:t>
      </w:r>
      <w:r w:rsidRPr="00AB2735">
        <w:rPr>
          <w:rFonts w:asciiTheme="minorHAnsi" w:hAnsiTheme="minorHAnsi" w:cstheme="minorHAnsi"/>
          <w:lang w:val="en-CA"/>
        </w:rPr>
        <w:t xml:space="preserve"> (see Figure 3)</w:t>
      </w:r>
      <w:r w:rsidR="001753D3" w:rsidRPr="00AB2735">
        <w:rPr>
          <w:rFonts w:asciiTheme="minorHAnsi" w:hAnsiTheme="minorHAnsi" w:cstheme="minorHAnsi"/>
          <w:lang w:val="en-CA"/>
        </w:rPr>
        <w:t>.</w:t>
      </w:r>
    </w:p>
    <w:p w14:paraId="653CF409" w14:textId="11361FF2" w:rsidR="009158E6" w:rsidRPr="00AB2735" w:rsidRDefault="009158E6" w:rsidP="009158E6">
      <w:pPr>
        <w:spacing w:line="360" w:lineRule="auto"/>
        <w:rPr>
          <w:rFonts w:asciiTheme="minorHAnsi" w:hAnsiTheme="minorHAnsi" w:cstheme="minorHAnsi"/>
          <w:i/>
          <w:iCs/>
          <w:lang w:val="en-CA"/>
        </w:rPr>
      </w:pPr>
      <w:r w:rsidRPr="00AB2735">
        <w:rPr>
          <w:rFonts w:asciiTheme="minorHAnsi" w:hAnsiTheme="minorHAnsi" w:cstheme="minorHAnsi"/>
          <w:i/>
          <w:iCs/>
          <w:lang w:val="en-CA"/>
        </w:rPr>
        <w:lastRenderedPageBreak/>
        <w:t>Paired-Samples t-Test for Experimental Group</w:t>
      </w:r>
      <w:r w:rsidR="001D7248" w:rsidRPr="00AB2735">
        <w:rPr>
          <w:rFonts w:asciiTheme="minorHAnsi" w:hAnsiTheme="minorHAnsi" w:cstheme="minorHAnsi"/>
          <w:i/>
          <w:iCs/>
          <w:lang w:val="en-CA"/>
        </w:rPr>
        <w:t xml:space="preserve"> Only</w:t>
      </w:r>
    </w:p>
    <w:p w14:paraId="2CEE8C7E" w14:textId="0B38BFF4" w:rsidR="003810D0" w:rsidRPr="00AB2735" w:rsidRDefault="009158E6" w:rsidP="009158E6">
      <w:pPr>
        <w:spacing w:line="360" w:lineRule="auto"/>
        <w:rPr>
          <w:rFonts w:asciiTheme="minorHAnsi" w:hAnsiTheme="minorHAnsi" w:cstheme="minorHAnsi"/>
          <w:lang w:val="en-CA"/>
        </w:rPr>
      </w:pPr>
      <w:r w:rsidRPr="00AB2735">
        <w:rPr>
          <w:rFonts w:asciiTheme="minorHAnsi" w:hAnsiTheme="minorHAnsi" w:cstheme="minorHAnsi"/>
          <w:lang w:val="en-CA"/>
        </w:rPr>
        <w:tab/>
      </w:r>
      <w:r w:rsidR="00730186" w:rsidRPr="00AB2735">
        <w:rPr>
          <w:rFonts w:asciiTheme="minorHAnsi" w:hAnsiTheme="minorHAnsi" w:cstheme="minorHAnsi"/>
          <w:lang w:val="en-CA"/>
        </w:rPr>
        <w:t xml:space="preserve">Paired-samples t-tests were also conducted on the experimental group </w:t>
      </w:r>
      <w:r w:rsidR="00227D27" w:rsidRPr="00AB2735">
        <w:rPr>
          <w:rFonts w:asciiTheme="minorHAnsi" w:hAnsiTheme="minorHAnsi" w:cstheme="minorHAnsi"/>
          <w:lang w:val="en-CA"/>
        </w:rPr>
        <w:t xml:space="preserve">participants, </w:t>
      </w:r>
      <w:r w:rsidR="00730186" w:rsidRPr="00AB2735">
        <w:rPr>
          <w:rFonts w:asciiTheme="minorHAnsi" w:hAnsiTheme="minorHAnsi" w:cstheme="minorHAnsi"/>
          <w:lang w:val="en-CA"/>
        </w:rPr>
        <w:t>separate from the control group participants</w:t>
      </w:r>
      <w:r w:rsidR="00227D27" w:rsidRPr="00AB2735">
        <w:rPr>
          <w:rFonts w:asciiTheme="minorHAnsi" w:hAnsiTheme="minorHAnsi" w:cstheme="minorHAnsi"/>
          <w:lang w:val="en-CA"/>
        </w:rPr>
        <w:t>,</w:t>
      </w:r>
      <w:r w:rsidR="00730186" w:rsidRPr="00AB2735">
        <w:rPr>
          <w:rFonts w:asciiTheme="minorHAnsi" w:hAnsiTheme="minorHAnsi" w:cstheme="minorHAnsi"/>
          <w:lang w:val="en-CA"/>
        </w:rPr>
        <w:t xml:space="preserve"> to see if there were any differences in average knowledge, attitude</w:t>
      </w:r>
      <w:r w:rsidR="00661A05" w:rsidRPr="00AB2735">
        <w:rPr>
          <w:rFonts w:asciiTheme="minorHAnsi" w:hAnsiTheme="minorHAnsi" w:cstheme="minorHAnsi"/>
          <w:lang w:val="en-CA"/>
        </w:rPr>
        <w:t>s</w:t>
      </w:r>
      <w:r w:rsidR="00730186" w:rsidRPr="00AB2735">
        <w:rPr>
          <w:rFonts w:asciiTheme="minorHAnsi" w:hAnsiTheme="minorHAnsi" w:cstheme="minorHAnsi"/>
          <w:lang w:val="en-CA"/>
        </w:rPr>
        <w:t>, and help-seeking scores between pre-session and post-session. Results were more promising with the experimental group. Knowledge scores at pre-session averaged 10.</w:t>
      </w:r>
      <w:r w:rsidR="00227D27" w:rsidRPr="00AB2735">
        <w:rPr>
          <w:rFonts w:asciiTheme="minorHAnsi" w:hAnsiTheme="minorHAnsi" w:cstheme="minorHAnsi"/>
          <w:lang w:val="en-CA"/>
        </w:rPr>
        <w:t>86</w:t>
      </w:r>
      <w:r w:rsidR="00730186" w:rsidRPr="00AB2735">
        <w:rPr>
          <w:rFonts w:asciiTheme="minorHAnsi" w:hAnsiTheme="minorHAnsi" w:cstheme="minorHAnsi"/>
          <w:lang w:val="en-CA"/>
        </w:rPr>
        <w:t xml:space="preserve"> (SD=4.</w:t>
      </w:r>
      <w:r w:rsidR="00227D27" w:rsidRPr="00AB2735">
        <w:rPr>
          <w:rFonts w:asciiTheme="minorHAnsi" w:hAnsiTheme="minorHAnsi" w:cstheme="minorHAnsi"/>
          <w:lang w:val="en-CA"/>
        </w:rPr>
        <w:t>5</w:t>
      </w:r>
      <w:r w:rsidR="00730186" w:rsidRPr="00AB2735">
        <w:rPr>
          <w:rFonts w:asciiTheme="minorHAnsi" w:hAnsiTheme="minorHAnsi" w:cstheme="minorHAnsi"/>
          <w:lang w:val="en-CA"/>
        </w:rPr>
        <w:t xml:space="preserve">5) and increased </w:t>
      </w:r>
      <w:r w:rsidR="00227D27" w:rsidRPr="00AB2735">
        <w:rPr>
          <w:rFonts w:asciiTheme="minorHAnsi" w:hAnsiTheme="minorHAnsi" w:cstheme="minorHAnsi"/>
          <w:lang w:val="en-CA"/>
        </w:rPr>
        <w:t xml:space="preserve">significantly and substantively to 16.46 (SD=4.86) </w:t>
      </w:r>
      <w:proofErr w:type="gramStart"/>
      <w:r w:rsidR="00227D27" w:rsidRPr="00AB2735">
        <w:rPr>
          <w:rFonts w:asciiTheme="minorHAnsi" w:hAnsiTheme="minorHAnsi" w:cstheme="minorHAnsi"/>
          <w:lang w:val="en-CA"/>
        </w:rPr>
        <w:t>t(</w:t>
      </w:r>
      <w:proofErr w:type="gramEnd"/>
      <w:r w:rsidR="00227D27" w:rsidRPr="00AB2735">
        <w:rPr>
          <w:rFonts w:asciiTheme="minorHAnsi" w:hAnsiTheme="minorHAnsi" w:cstheme="minorHAnsi"/>
          <w:lang w:val="en-CA"/>
        </w:rPr>
        <w:t xml:space="preserve">36) = -7.723, </w:t>
      </w:r>
      <w:r w:rsidR="00227D27" w:rsidRPr="00AB2735">
        <w:rPr>
          <w:rFonts w:asciiTheme="minorHAnsi" w:hAnsiTheme="minorHAnsi" w:cstheme="minorHAnsi"/>
          <w:i/>
          <w:iCs/>
          <w:lang w:val="en-CA"/>
        </w:rPr>
        <w:t>p</w:t>
      </w:r>
      <w:r w:rsidR="00227D27" w:rsidRPr="00AB2735">
        <w:rPr>
          <w:rFonts w:asciiTheme="minorHAnsi" w:hAnsiTheme="minorHAnsi" w:cstheme="minorHAnsi"/>
          <w:lang w:val="en-CA"/>
        </w:rPr>
        <w:t xml:space="preserve">=.000, </w:t>
      </w:r>
      <w:r w:rsidR="00227D27" w:rsidRPr="00AB2735">
        <w:rPr>
          <w:rFonts w:asciiTheme="minorHAnsi" w:hAnsiTheme="minorHAnsi" w:cstheme="minorHAnsi"/>
          <w:i/>
          <w:iCs/>
          <w:lang w:val="en-CA"/>
        </w:rPr>
        <w:t>d</w:t>
      </w:r>
      <w:r w:rsidR="00227D27" w:rsidRPr="00AB2735">
        <w:rPr>
          <w:rFonts w:asciiTheme="minorHAnsi" w:hAnsiTheme="minorHAnsi" w:cstheme="minorHAnsi"/>
          <w:lang w:val="en-CA"/>
        </w:rPr>
        <w:t>=</w:t>
      </w:r>
      <w:r w:rsidR="00340828" w:rsidRPr="00AB2735">
        <w:rPr>
          <w:rFonts w:asciiTheme="minorHAnsi" w:hAnsiTheme="minorHAnsi" w:cstheme="minorHAnsi"/>
          <w:lang w:val="en-CA"/>
        </w:rPr>
        <w:t>1.19 (</w:t>
      </w:r>
      <w:r w:rsidR="007F7D9C" w:rsidRPr="00AB2735">
        <w:rPr>
          <w:rFonts w:asciiTheme="minorHAnsi" w:hAnsiTheme="minorHAnsi" w:cstheme="minorHAnsi"/>
          <w:lang w:val="en-CA"/>
        </w:rPr>
        <w:t>large effects size)</w:t>
      </w:r>
      <w:r w:rsidR="00227D27" w:rsidRPr="00AB2735">
        <w:rPr>
          <w:rFonts w:asciiTheme="minorHAnsi" w:hAnsiTheme="minorHAnsi" w:cstheme="minorHAnsi"/>
          <w:lang w:val="en-CA"/>
        </w:rPr>
        <w:t xml:space="preserve"> (</w:t>
      </w:r>
      <w:r w:rsidR="00340828" w:rsidRPr="00AB2735">
        <w:rPr>
          <w:rFonts w:asciiTheme="minorHAnsi" w:hAnsiTheme="minorHAnsi" w:cstheme="minorHAnsi"/>
          <w:lang w:val="en-CA"/>
        </w:rPr>
        <w:t>s</w:t>
      </w:r>
      <w:r w:rsidR="00227D27" w:rsidRPr="00AB2735">
        <w:rPr>
          <w:rFonts w:asciiTheme="minorHAnsi" w:hAnsiTheme="minorHAnsi" w:cstheme="minorHAnsi"/>
          <w:lang w:val="en-CA"/>
        </w:rPr>
        <w:t xml:space="preserve">ee Figure </w:t>
      </w:r>
      <w:r w:rsidR="002D1B7C" w:rsidRPr="00AB2735">
        <w:rPr>
          <w:rFonts w:asciiTheme="minorHAnsi" w:hAnsiTheme="minorHAnsi" w:cstheme="minorHAnsi"/>
          <w:lang w:val="en-CA"/>
        </w:rPr>
        <w:t>1</w:t>
      </w:r>
      <w:r w:rsidR="00227D27" w:rsidRPr="00AB2735">
        <w:rPr>
          <w:rFonts w:asciiTheme="minorHAnsi" w:hAnsiTheme="minorHAnsi" w:cstheme="minorHAnsi"/>
          <w:lang w:val="en-CA"/>
        </w:rPr>
        <w:t xml:space="preserve">). Average attitude scores also increased significantly and substantively from 66.27 (SD=11.79) at pre-session to 72.59 (SD=9.43) at post-session </w:t>
      </w:r>
      <w:proofErr w:type="gramStart"/>
      <w:r w:rsidR="00227D27" w:rsidRPr="00AB2735">
        <w:rPr>
          <w:rFonts w:asciiTheme="minorHAnsi" w:hAnsiTheme="minorHAnsi" w:cstheme="minorHAnsi"/>
          <w:lang w:val="en-CA"/>
        </w:rPr>
        <w:t>t(</w:t>
      </w:r>
      <w:proofErr w:type="gramEnd"/>
      <w:r w:rsidR="00227D27" w:rsidRPr="00AB2735">
        <w:rPr>
          <w:rFonts w:asciiTheme="minorHAnsi" w:hAnsiTheme="minorHAnsi" w:cstheme="minorHAnsi"/>
          <w:lang w:val="en-CA"/>
        </w:rPr>
        <w:t xml:space="preserve">36) = -7.723, </w:t>
      </w:r>
      <w:r w:rsidR="00227D27" w:rsidRPr="00AB2735">
        <w:rPr>
          <w:rFonts w:asciiTheme="minorHAnsi" w:hAnsiTheme="minorHAnsi" w:cstheme="minorHAnsi"/>
          <w:i/>
          <w:iCs/>
          <w:lang w:val="en-CA"/>
        </w:rPr>
        <w:t>p</w:t>
      </w:r>
      <w:r w:rsidR="00227D27" w:rsidRPr="00AB2735">
        <w:rPr>
          <w:rFonts w:asciiTheme="minorHAnsi" w:hAnsiTheme="minorHAnsi" w:cstheme="minorHAnsi"/>
          <w:lang w:val="en-CA"/>
        </w:rPr>
        <w:t xml:space="preserve">=.000, </w:t>
      </w:r>
      <w:r w:rsidR="00227D27" w:rsidRPr="00AB2735">
        <w:rPr>
          <w:rFonts w:asciiTheme="minorHAnsi" w:hAnsiTheme="minorHAnsi" w:cstheme="minorHAnsi"/>
          <w:i/>
          <w:iCs/>
          <w:lang w:val="en-CA"/>
        </w:rPr>
        <w:t>d</w:t>
      </w:r>
      <w:r w:rsidR="00227D27" w:rsidRPr="00AB2735">
        <w:rPr>
          <w:rFonts w:asciiTheme="minorHAnsi" w:hAnsiTheme="minorHAnsi" w:cstheme="minorHAnsi"/>
          <w:lang w:val="en-CA"/>
        </w:rPr>
        <w:t>=</w:t>
      </w:r>
      <w:r w:rsidR="007F7D9C" w:rsidRPr="00AB2735">
        <w:rPr>
          <w:rFonts w:asciiTheme="minorHAnsi" w:hAnsiTheme="minorHAnsi" w:cstheme="minorHAnsi"/>
          <w:lang w:val="en-CA"/>
        </w:rPr>
        <w:t>0.59 (medium effect size)</w:t>
      </w:r>
      <w:r w:rsidR="00227D27" w:rsidRPr="00AB2735">
        <w:rPr>
          <w:rFonts w:asciiTheme="minorHAnsi" w:hAnsiTheme="minorHAnsi" w:cstheme="minorHAnsi"/>
          <w:lang w:val="en-CA"/>
        </w:rPr>
        <w:t xml:space="preserve"> (</w:t>
      </w:r>
      <w:r w:rsidR="00340828" w:rsidRPr="00AB2735">
        <w:rPr>
          <w:rFonts w:asciiTheme="minorHAnsi" w:hAnsiTheme="minorHAnsi" w:cstheme="minorHAnsi"/>
          <w:lang w:val="en-CA"/>
        </w:rPr>
        <w:t xml:space="preserve">see Figure </w:t>
      </w:r>
      <w:r w:rsidR="002D1B7C" w:rsidRPr="00AB2735">
        <w:rPr>
          <w:rFonts w:asciiTheme="minorHAnsi" w:hAnsiTheme="minorHAnsi" w:cstheme="minorHAnsi"/>
          <w:lang w:val="en-CA"/>
        </w:rPr>
        <w:t>2</w:t>
      </w:r>
      <w:r w:rsidR="00340828" w:rsidRPr="00AB2735">
        <w:rPr>
          <w:rFonts w:asciiTheme="minorHAnsi" w:hAnsiTheme="minorHAnsi" w:cstheme="minorHAnsi"/>
          <w:lang w:val="en-CA"/>
        </w:rPr>
        <w:t xml:space="preserve">). Alternatively, average help-seeking scores did not increase statistically significantly, despite the slight numerical increase from 28.76 (SD=4.63) at pre-session to 29.16 (SD=4.81) at post-session </w:t>
      </w:r>
      <w:proofErr w:type="gramStart"/>
      <w:r w:rsidR="00340828" w:rsidRPr="00AB2735">
        <w:rPr>
          <w:rFonts w:asciiTheme="minorHAnsi" w:hAnsiTheme="minorHAnsi" w:cstheme="minorHAnsi"/>
          <w:lang w:val="en-CA"/>
        </w:rPr>
        <w:t>t(</w:t>
      </w:r>
      <w:proofErr w:type="gramEnd"/>
      <w:r w:rsidR="00340828" w:rsidRPr="00AB2735">
        <w:rPr>
          <w:rFonts w:asciiTheme="minorHAnsi" w:hAnsiTheme="minorHAnsi" w:cstheme="minorHAnsi"/>
          <w:lang w:val="en-CA"/>
        </w:rPr>
        <w:t xml:space="preserve">36) = -.616, </w:t>
      </w:r>
      <w:r w:rsidR="00340828" w:rsidRPr="00AB2735">
        <w:rPr>
          <w:rFonts w:asciiTheme="minorHAnsi" w:hAnsiTheme="minorHAnsi" w:cstheme="minorHAnsi"/>
          <w:i/>
          <w:iCs/>
          <w:lang w:val="en-CA"/>
        </w:rPr>
        <w:t>p</w:t>
      </w:r>
      <w:r w:rsidR="00340828" w:rsidRPr="00AB2735">
        <w:rPr>
          <w:rFonts w:asciiTheme="minorHAnsi" w:hAnsiTheme="minorHAnsi" w:cstheme="minorHAnsi"/>
          <w:lang w:val="en-CA"/>
        </w:rPr>
        <w:t xml:space="preserve">=.542 (see Figure </w:t>
      </w:r>
      <w:r w:rsidR="002D1B7C" w:rsidRPr="00AB2735">
        <w:rPr>
          <w:rFonts w:asciiTheme="minorHAnsi" w:hAnsiTheme="minorHAnsi" w:cstheme="minorHAnsi"/>
          <w:lang w:val="en-CA"/>
        </w:rPr>
        <w:t>3</w:t>
      </w:r>
      <w:r w:rsidR="00340828" w:rsidRPr="00AB2735">
        <w:rPr>
          <w:rFonts w:asciiTheme="minorHAnsi" w:hAnsiTheme="minorHAnsi" w:cstheme="minorHAnsi"/>
          <w:lang w:val="en-CA"/>
        </w:rPr>
        <w:t>).</w:t>
      </w:r>
      <w:r w:rsidR="007F7D9C" w:rsidRPr="00AB2735">
        <w:rPr>
          <w:rFonts w:asciiTheme="minorHAnsi" w:hAnsiTheme="minorHAnsi" w:cstheme="minorHAnsi"/>
          <w:lang w:val="en-CA"/>
        </w:rPr>
        <w:t xml:space="preserve"> These help-seeking average scores may not be significantly different between pre-session and post-session because of the already high numbers at pre-session, indicating a ceiling effect.</w:t>
      </w:r>
    </w:p>
    <w:p w14:paraId="758727B4" w14:textId="6A7EDE8E" w:rsidR="003810D0" w:rsidRPr="00AB2735" w:rsidRDefault="003810D0" w:rsidP="003810D0">
      <w:pPr>
        <w:spacing w:line="360" w:lineRule="auto"/>
        <w:rPr>
          <w:rFonts w:asciiTheme="minorHAnsi" w:hAnsiTheme="minorHAnsi" w:cstheme="minorHAnsi"/>
          <w:i/>
          <w:iCs/>
          <w:lang w:val="en-CA"/>
        </w:rPr>
      </w:pPr>
      <w:r w:rsidRPr="00AB2735">
        <w:rPr>
          <w:rFonts w:asciiTheme="minorHAnsi" w:hAnsiTheme="minorHAnsi" w:cstheme="minorHAnsi"/>
          <w:i/>
          <w:iCs/>
          <w:lang w:val="en-CA"/>
        </w:rPr>
        <w:t xml:space="preserve">Analysis of Covariance for </w:t>
      </w:r>
      <w:r w:rsidR="00F552F1" w:rsidRPr="00AB2735">
        <w:rPr>
          <w:rFonts w:asciiTheme="minorHAnsi" w:hAnsiTheme="minorHAnsi" w:cstheme="minorHAnsi"/>
          <w:i/>
          <w:iCs/>
          <w:lang w:val="en-CA"/>
        </w:rPr>
        <w:t>Group by Gender</w:t>
      </w:r>
      <w:r w:rsidRPr="00AB2735">
        <w:rPr>
          <w:rFonts w:asciiTheme="minorHAnsi" w:hAnsiTheme="minorHAnsi" w:cstheme="minorHAnsi"/>
          <w:i/>
          <w:iCs/>
          <w:lang w:val="en-CA"/>
        </w:rPr>
        <w:t xml:space="preserve"> at </w:t>
      </w:r>
      <w:r w:rsidR="006A5C42" w:rsidRPr="00AB2735">
        <w:rPr>
          <w:rFonts w:asciiTheme="minorHAnsi" w:hAnsiTheme="minorHAnsi" w:cstheme="minorHAnsi"/>
          <w:i/>
          <w:iCs/>
          <w:lang w:val="en-CA"/>
        </w:rPr>
        <w:t>P</w:t>
      </w:r>
      <w:r w:rsidRPr="00AB2735">
        <w:rPr>
          <w:rFonts w:asciiTheme="minorHAnsi" w:hAnsiTheme="minorHAnsi" w:cstheme="minorHAnsi"/>
          <w:i/>
          <w:iCs/>
          <w:lang w:val="en-CA"/>
        </w:rPr>
        <w:t>ost-</w:t>
      </w:r>
      <w:r w:rsidR="006A5C42" w:rsidRPr="00AB2735">
        <w:rPr>
          <w:rFonts w:asciiTheme="minorHAnsi" w:hAnsiTheme="minorHAnsi" w:cstheme="minorHAnsi"/>
          <w:i/>
          <w:iCs/>
          <w:lang w:val="en-CA"/>
        </w:rPr>
        <w:t>T</w:t>
      </w:r>
      <w:r w:rsidRPr="00AB2735">
        <w:rPr>
          <w:rFonts w:asciiTheme="minorHAnsi" w:hAnsiTheme="minorHAnsi" w:cstheme="minorHAnsi"/>
          <w:i/>
          <w:iCs/>
          <w:lang w:val="en-CA"/>
        </w:rPr>
        <w:t>est</w:t>
      </w:r>
    </w:p>
    <w:p w14:paraId="0420B332" w14:textId="2D37AFB4" w:rsidR="003810D0" w:rsidRPr="00AB2735" w:rsidRDefault="003810D0" w:rsidP="009158E6">
      <w:pPr>
        <w:spacing w:line="360" w:lineRule="auto"/>
        <w:rPr>
          <w:rFonts w:asciiTheme="minorHAnsi" w:hAnsiTheme="minorHAnsi" w:cstheme="minorHAnsi"/>
          <w:lang w:val="en-CA"/>
        </w:rPr>
      </w:pPr>
      <w:r w:rsidRPr="00AB2735">
        <w:rPr>
          <w:rFonts w:asciiTheme="minorHAnsi" w:hAnsiTheme="minorHAnsi" w:cstheme="minorHAnsi"/>
          <w:lang w:val="en-CA"/>
        </w:rPr>
        <w:tab/>
      </w:r>
      <w:r w:rsidR="00846863" w:rsidRPr="00AB2735">
        <w:rPr>
          <w:rFonts w:asciiTheme="minorHAnsi" w:hAnsiTheme="minorHAnsi" w:cstheme="minorHAnsi"/>
          <w:lang w:val="en-CA"/>
        </w:rPr>
        <w:t xml:space="preserve">Three two-way </w:t>
      </w:r>
      <w:r w:rsidR="006A5C42" w:rsidRPr="00AB2735">
        <w:rPr>
          <w:rFonts w:asciiTheme="minorHAnsi" w:hAnsiTheme="minorHAnsi" w:cstheme="minorHAnsi"/>
          <w:lang w:val="en-CA"/>
        </w:rPr>
        <w:t xml:space="preserve">Analyses of Covariance </w:t>
      </w:r>
      <w:r w:rsidR="00371E82" w:rsidRPr="00AB2735">
        <w:rPr>
          <w:rFonts w:asciiTheme="minorHAnsi" w:hAnsiTheme="minorHAnsi" w:cstheme="minorHAnsi"/>
          <w:lang w:val="en-CA"/>
        </w:rPr>
        <w:t xml:space="preserve">(ANCOVA) </w:t>
      </w:r>
      <w:r w:rsidR="006A5C42" w:rsidRPr="00AB2735">
        <w:rPr>
          <w:rFonts w:asciiTheme="minorHAnsi" w:hAnsiTheme="minorHAnsi" w:cstheme="minorHAnsi"/>
          <w:lang w:val="en-CA"/>
        </w:rPr>
        <w:t xml:space="preserve">were conducted using pre-test scores as the covariate and post-test scores as the dependent variable </w:t>
      </w:r>
      <w:proofErr w:type="gramStart"/>
      <w:r w:rsidR="006A5C42" w:rsidRPr="00AB2735">
        <w:rPr>
          <w:rFonts w:asciiTheme="minorHAnsi" w:hAnsiTheme="minorHAnsi" w:cstheme="minorHAnsi"/>
          <w:lang w:val="en-CA"/>
        </w:rPr>
        <w:t>in order to</w:t>
      </w:r>
      <w:proofErr w:type="gramEnd"/>
      <w:r w:rsidR="006A5C42" w:rsidRPr="00AB2735">
        <w:rPr>
          <w:rFonts w:asciiTheme="minorHAnsi" w:hAnsiTheme="minorHAnsi" w:cstheme="minorHAnsi"/>
          <w:lang w:val="en-CA"/>
        </w:rPr>
        <w:t xml:space="preserve"> study the differences </w:t>
      </w:r>
      <w:r w:rsidR="00371E82" w:rsidRPr="00AB2735">
        <w:rPr>
          <w:rFonts w:asciiTheme="minorHAnsi" w:hAnsiTheme="minorHAnsi" w:cstheme="minorHAnsi"/>
          <w:lang w:val="en-CA"/>
        </w:rPr>
        <w:t xml:space="preserve">in </w:t>
      </w:r>
      <w:r w:rsidR="006A5C42" w:rsidRPr="00AB2735">
        <w:rPr>
          <w:rFonts w:asciiTheme="minorHAnsi" w:hAnsiTheme="minorHAnsi" w:cstheme="minorHAnsi"/>
          <w:lang w:val="en-CA"/>
        </w:rPr>
        <w:t xml:space="preserve">average </w:t>
      </w:r>
      <w:r w:rsidR="00371E82" w:rsidRPr="00AB2735">
        <w:rPr>
          <w:rFonts w:asciiTheme="minorHAnsi" w:hAnsiTheme="minorHAnsi" w:cstheme="minorHAnsi"/>
          <w:lang w:val="en-CA"/>
        </w:rPr>
        <w:t xml:space="preserve">post-test </w:t>
      </w:r>
      <w:r w:rsidR="006A5C42" w:rsidRPr="00AB2735">
        <w:rPr>
          <w:rFonts w:asciiTheme="minorHAnsi" w:hAnsiTheme="minorHAnsi" w:cstheme="minorHAnsi"/>
          <w:lang w:val="en-CA"/>
        </w:rPr>
        <w:t xml:space="preserve">knowledge, attitude, </w:t>
      </w:r>
      <w:r w:rsidR="00371E82" w:rsidRPr="00AB2735">
        <w:rPr>
          <w:rFonts w:asciiTheme="minorHAnsi" w:hAnsiTheme="minorHAnsi" w:cstheme="minorHAnsi"/>
          <w:lang w:val="en-CA"/>
        </w:rPr>
        <w:t xml:space="preserve">and </w:t>
      </w:r>
      <w:r w:rsidR="006A5C42" w:rsidRPr="00AB2735">
        <w:rPr>
          <w:rFonts w:asciiTheme="minorHAnsi" w:hAnsiTheme="minorHAnsi" w:cstheme="minorHAnsi"/>
          <w:lang w:val="en-CA"/>
        </w:rPr>
        <w:t>help-seeking</w:t>
      </w:r>
      <w:r w:rsidR="00371E82" w:rsidRPr="00AB2735">
        <w:rPr>
          <w:rFonts w:asciiTheme="minorHAnsi" w:hAnsiTheme="minorHAnsi" w:cstheme="minorHAnsi"/>
          <w:lang w:val="en-CA"/>
        </w:rPr>
        <w:t xml:space="preserve"> scores between </w:t>
      </w:r>
      <w:r w:rsidR="003367E1" w:rsidRPr="00AB2735">
        <w:rPr>
          <w:rFonts w:asciiTheme="minorHAnsi" w:hAnsiTheme="minorHAnsi" w:cstheme="minorHAnsi"/>
          <w:lang w:val="en-CA"/>
        </w:rPr>
        <w:t xml:space="preserve">males and females within </w:t>
      </w:r>
      <w:r w:rsidR="00371E82" w:rsidRPr="00AB2735">
        <w:rPr>
          <w:rFonts w:asciiTheme="minorHAnsi" w:hAnsiTheme="minorHAnsi" w:cstheme="minorHAnsi"/>
          <w:lang w:val="en-CA"/>
        </w:rPr>
        <w:t xml:space="preserve">the control group and the experimental group whilst controlling for pre-test scores. The ANCOVA for knowledge resulted in a significant </w:t>
      </w:r>
      <w:r w:rsidR="001B22A4" w:rsidRPr="00AB2735">
        <w:rPr>
          <w:rFonts w:asciiTheme="minorHAnsi" w:hAnsiTheme="minorHAnsi" w:cstheme="minorHAnsi"/>
          <w:lang w:val="en-CA"/>
        </w:rPr>
        <w:t xml:space="preserve">interaction </w:t>
      </w:r>
      <w:r w:rsidR="0071090D" w:rsidRPr="00AB2735">
        <w:rPr>
          <w:rFonts w:asciiTheme="minorHAnsi" w:hAnsiTheme="minorHAnsi" w:cstheme="minorHAnsi"/>
          <w:lang w:val="en-CA"/>
        </w:rPr>
        <w:t>in</w:t>
      </w:r>
      <w:r w:rsidR="00371E82" w:rsidRPr="00AB2735">
        <w:rPr>
          <w:rFonts w:asciiTheme="minorHAnsi" w:hAnsiTheme="minorHAnsi" w:cstheme="minorHAnsi"/>
          <w:lang w:val="en-CA"/>
        </w:rPr>
        <w:t xml:space="preserve"> group</w:t>
      </w:r>
      <w:r w:rsidR="0071090D" w:rsidRPr="00AB2735">
        <w:rPr>
          <w:rFonts w:asciiTheme="minorHAnsi" w:hAnsiTheme="minorHAnsi" w:cstheme="minorHAnsi"/>
          <w:lang w:val="en-CA"/>
        </w:rPr>
        <w:t xml:space="preserve"> by gender</w:t>
      </w:r>
      <w:r w:rsidR="00371E82" w:rsidRPr="00AB2735">
        <w:rPr>
          <w:rFonts w:asciiTheme="minorHAnsi" w:hAnsiTheme="minorHAnsi" w:cstheme="minorHAnsi"/>
          <w:lang w:val="en-CA"/>
        </w:rPr>
        <w:t xml:space="preserve"> </w:t>
      </w:r>
      <w:proofErr w:type="gramStart"/>
      <w:r w:rsidR="00371E82" w:rsidRPr="00AB2735">
        <w:rPr>
          <w:rFonts w:asciiTheme="minorHAnsi" w:hAnsiTheme="minorHAnsi" w:cstheme="minorHAnsi"/>
          <w:lang w:val="en-CA"/>
        </w:rPr>
        <w:t>F(</w:t>
      </w:r>
      <w:proofErr w:type="gramEnd"/>
      <w:r w:rsidR="00371E82" w:rsidRPr="00AB2735">
        <w:rPr>
          <w:rFonts w:asciiTheme="minorHAnsi" w:hAnsiTheme="minorHAnsi" w:cstheme="minorHAnsi"/>
          <w:lang w:val="en-CA"/>
        </w:rPr>
        <w:t>1,6</w:t>
      </w:r>
      <w:r w:rsidR="001B22A4" w:rsidRPr="00AB2735">
        <w:rPr>
          <w:rFonts w:asciiTheme="minorHAnsi" w:hAnsiTheme="minorHAnsi" w:cstheme="minorHAnsi"/>
          <w:lang w:val="en-CA"/>
        </w:rPr>
        <w:t>1</w:t>
      </w:r>
      <w:r w:rsidR="00371E82" w:rsidRPr="00AB2735">
        <w:rPr>
          <w:rFonts w:asciiTheme="minorHAnsi" w:hAnsiTheme="minorHAnsi" w:cstheme="minorHAnsi"/>
          <w:lang w:val="en-CA"/>
        </w:rPr>
        <w:t xml:space="preserve">) = </w:t>
      </w:r>
      <w:r w:rsidR="001B22A4" w:rsidRPr="00AB2735">
        <w:rPr>
          <w:rFonts w:asciiTheme="minorHAnsi" w:hAnsiTheme="minorHAnsi" w:cstheme="minorHAnsi"/>
          <w:lang w:val="en-CA"/>
        </w:rPr>
        <w:t>4.012</w:t>
      </w:r>
      <w:r w:rsidR="00371E82" w:rsidRPr="00AB2735">
        <w:rPr>
          <w:rFonts w:asciiTheme="minorHAnsi" w:hAnsiTheme="minorHAnsi" w:cstheme="minorHAnsi"/>
          <w:lang w:val="en-CA"/>
        </w:rPr>
        <w:t xml:space="preserve">, </w:t>
      </w:r>
      <w:r w:rsidR="00371E82" w:rsidRPr="00AB2735">
        <w:rPr>
          <w:rFonts w:asciiTheme="minorHAnsi" w:hAnsiTheme="minorHAnsi" w:cstheme="minorHAnsi"/>
          <w:i/>
          <w:iCs/>
          <w:lang w:val="en-CA"/>
        </w:rPr>
        <w:t>p</w:t>
      </w:r>
      <w:r w:rsidR="001B22A4" w:rsidRPr="00AB2735">
        <w:rPr>
          <w:rFonts w:asciiTheme="minorHAnsi" w:hAnsiTheme="minorHAnsi" w:cstheme="minorHAnsi"/>
          <w:i/>
          <w:iCs/>
          <w:lang w:val="en-CA"/>
        </w:rPr>
        <w:t>&lt;</w:t>
      </w:r>
      <w:r w:rsidR="004E5111" w:rsidRPr="00AB2735">
        <w:rPr>
          <w:rFonts w:asciiTheme="minorHAnsi" w:hAnsiTheme="minorHAnsi" w:cstheme="minorHAnsi"/>
          <w:lang w:val="en-CA"/>
        </w:rPr>
        <w:t xml:space="preserve"> </w:t>
      </w:r>
      <w:r w:rsidR="00371E82" w:rsidRPr="00AB2735">
        <w:rPr>
          <w:rFonts w:asciiTheme="minorHAnsi" w:hAnsiTheme="minorHAnsi" w:cstheme="minorHAnsi"/>
          <w:lang w:val="en-CA"/>
        </w:rPr>
        <w:t>.</w:t>
      </w:r>
      <w:r w:rsidR="001B22A4" w:rsidRPr="00AB2735">
        <w:rPr>
          <w:rFonts w:asciiTheme="minorHAnsi" w:hAnsiTheme="minorHAnsi" w:cstheme="minorHAnsi"/>
          <w:lang w:val="en-CA"/>
        </w:rPr>
        <w:t>05</w:t>
      </w:r>
      <w:r w:rsidR="00E93AAC" w:rsidRPr="00AB2735">
        <w:rPr>
          <w:rFonts w:asciiTheme="minorHAnsi" w:hAnsiTheme="minorHAnsi" w:cstheme="minorHAnsi"/>
          <w:lang w:val="en-CA"/>
        </w:rPr>
        <w:t>, h</w:t>
      </w:r>
      <w:r w:rsidR="005E2E41" w:rsidRPr="00AB2735">
        <w:rPr>
          <w:rFonts w:asciiTheme="minorHAnsi" w:hAnsiTheme="minorHAnsi" w:cstheme="minorHAnsi"/>
          <w:vertAlign w:val="subscript"/>
          <w:lang w:val="en-CA"/>
        </w:rPr>
        <w:t>p</w:t>
      </w:r>
      <w:r w:rsidR="005E2E41" w:rsidRPr="00AB2735">
        <w:rPr>
          <w:rFonts w:asciiTheme="minorHAnsi" w:hAnsiTheme="minorHAnsi" w:cstheme="minorHAnsi"/>
          <w:vertAlign w:val="superscript"/>
          <w:lang w:val="en-CA"/>
        </w:rPr>
        <w:t>2</w:t>
      </w:r>
      <w:r w:rsidR="004E5111" w:rsidRPr="00AB2735">
        <w:rPr>
          <w:rFonts w:asciiTheme="minorHAnsi" w:hAnsiTheme="minorHAnsi" w:cstheme="minorHAnsi"/>
          <w:lang w:val="en-CA"/>
        </w:rPr>
        <w:t xml:space="preserve"> </w:t>
      </w:r>
      <w:r w:rsidR="00E93AAC" w:rsidRPr="00AB2735">
        <w:rPr>
          <w:rFonts w:asciiTheme="minorHAnsi" w:hAnsiTheme="minorHAnsi" w:cstheme="minorHAnsi"/>
          <w:lang w:val="en-CA"/>
        </w:rPr>
        <w:t>=</w:t>
      </w:r>
      <w:r w:rsidR="004E5111" w:rsidRPr="00AB2735">
        <w:rPr>
          <w:rFonts w:asciiTheme="minorHAnsi" w:hAnsiTheme="minorHAnsi" w:cstheme="minorHAnsi"/>
          <w:lang w:val="en-CA"/>
        </w:rPr>
        <w:t xml:space="preserve"> </w:t>
      </w:r>
      <w:r w:rsidR="00E93AAC" w:rsidRPr="00AB2735">
        <w:rPr>
          <w:rFonts w:asciiTheme="minorHAnsi" w:hAnsiTheme="minorHAnsi" w:cstheme="minorHAnsi"/>
          <w:lang w:val="en-CA"/>
        </w:rPr>
        <w:t>.</w:t>
      </w:r>
      <w:r w:rsidR="001B22A4" w:rsidRPr="00AB2735">
        <w:rPr>
          <w:rFonts w:asciiTheme="minorHAnsi" w:hAnsiTheme="minorHAnsi" w:cstheme="minorHAnsi"/>
          <w:lang w:val="en-CA"/>
        </w:rPr>
        <w:t>062</w:t>
      </w:r>
      <w:r w:rsidR="00E93AAC" w:rsidRPr="00AB2735">
        <w:rPr>
          <w:rFonts w:asciiTheme="minorHAnsi" w:hAnsiTheme="minorHAnsi" w:cstheme="minorHAnsi"/>
          <w:lang w:val="en-CA"/>
        </w:rPr>
        <w:t xml:space="preserve"> (</w:t>
      </w:r>
      <w:r w:rsidR="001B22A4" w:rsidRPr="00AB2735">
        <w:rPr>
          <w:rFonts w:asciiTheme="minorHAnsi" w:hAnsiTheme="minorHAnsi" w:cstheme="minorHAnsi"/>
          <w:lang w:val="en-CA"/>
        </w:rPr>
        <w:t xml:space="preserve">small </w:t>
      </w:r>
      <w:r w:rsidR="00E93AAC" w:rsidRPr="00AB2735">
        <w:rPr>
          <w:rFonts w:asciiTheme="minorHAnsi" w:hAnsiTheme="minorHAnsi" w:cstheme="minorHAnsi"/>
          <w:lang w:val="en-CA"/>
        </w:rPr>
        <w:t>effect size)</w:t>
      </w:r>
      <w:r w:rsidR="003B7FDE" w:rsidRPr="00AB2735">
        <w:rPr>
          <w:rFonts w:asciiTheme="minorHAnsi" w:hAnsiTheme="minorHAnsi" w:cstheme="minorHAnsi"/>
          <w:lang w:val="en-CA"/>
        </w:rPr>
        <w:t xml:space="preserve">. </w:t>
      </w:r>
      <w:r w:rsidR="00371E82" w:rsidRPr="00AB2735">
        <w:rPr>
          <w:rFonts w:asciiTheme="minorHAnsi" w:hAnsiTheme="minorHAnsi" w:cstheme="minorHAnsi"/>
          <w:lang w:val="en-CA"/>
        </w:rPr>
        <w:t>This indicates that the</w:t>
      </w:r>
      <w:r w:rsidR="00830FE9" w:rsidRPr="00AB2735">
        <w:rPr>
          <w:rFonts w:asciiTheme="minorHAnsi" w:hAnsiTheme="minorHAnsi" w:cstheme="minorHAnsi"/>
          <w:lang w:val="en-CA"/>
        </w:rPr>
        <w:t xml:space="preserve">re is </w:t>
      </w:r>
      <w:r w:rsidR="00DD7B82" w:rsidRPr="00AB2735">
        <w:rPr>
          <w:rFonts w:asciiTheme="minorHAnsi" w:hAnsiTheme="minorHAnsi" w:cstheme="minorHAnsi"/>
          <w:lang w:val="en-CA"/>
        </w:rPr>
        <w:t>an</w:t>
      </w:r>
      <w:r w:rsidR="00830FE9" w:rsidRPr="00AB2735">
        <w:rPr>
          <w:rFonts w:asciiTheme="minorHAnsi" w:hAnsiTheme="minorHAnsi" w:cstheme="minorHAnsi"/>
          <w:lang w:val="en-CA"/>
        </w:rPr>
        <w:t xml:space="preserve"> interaction between group and gender for knowledge scores</w:t>
      </w:r>
      <w:r w:rsidR="00DD7B82" w:rsidRPr="00AB2735">
        <w:rPr>
          <w:rFonts w:asciiTheme="minorHAnsi" w:hAnsiTheme="minorHAnsi" w:cstheme="minorHAnsi"/>
          <w:lang w:val="en-CA"/>
        </w:rPr>
        <w:t xml:space="preserve">. The main effects were found between the control group and experimental group </w:t>
      </w:r>
      <w:proofErr w:type="gramStart"/>
      <w:r w:rsidR="00DD7B82" w:rsidRPr="00AB2735">
        <w:rPr>
          <w:rFonts w:asciiTheme="minorHAnsi" w:hAnsiTheme="minorHAnsi" w:cstheme="minorHAnsi"/>
          <w:lang w:val="en-CA"/>
        </w:rPr>
        <w:t>F(</w:t>
      </w:r>
      <w:proofErr w:type="gramEnd"/>
      <w:r w:rsidR="00DD7B82" w:rsidRPr="00AB2735">
        <w:rPr>
          <w:rFonts w:asciiTheme="minorHAnsi" w:hAnsiTheme="minorHAnsi" w:cstheme="minorHAnsi"/>
          <w:lang w:val="en-CA"/>
        </w:rPr>
        <w:t xml:space="preserve">1,61) = 27.740, </w:t>
      </w:r>
      <w:r w:rsidR="00DD7B82" w:rsidRPr="00AB2735">
        <w:rPr>
          <w:rFonts w:asciiTheme="minorHAnsi" w:hAnsiTheme="minorHAnsi" w:cstheme="minorHAnsi"/>
          <w:i/>
          <w:iCs/>
          <w:lang w:val="en-CA"/>
        </w:rPr>
        <w:t xml:space="preserve">p </w:t>
      </w:r>
      <w:r w:rsidR="00DD7B82" w:rsidRPr="00AB2735">
        <w:rPr>
          <w:rFonts w:asciiTheme="minorHAnsi" w:hAnsiTheme="minorHAnsi" w:cstheme="minorHAnsi"/>
          <w:lang w:val="en-CA"/>
        </w:rPr>
        <w:t>&lt; .001, h</w:t>
      </w:r>
      <w:r w:rsidR="00DD7B82" w:rsidRPr="00AB2735">
        <w:rPr>
          <w:rFonts w:asciiTheme="minorHAnsi" w:hAnsiTheme="minorHAnsi" w:cstheme="minorHAnsi"/>
          <w:vertAlign w:val="subscript"/>
          <w:lang w:val="en-CA"/>
        </w:rPr>
        <w:t>p</w:t>
      </w:r>
      <w:r w:rsidR="00DD7B82" w:rsidRPr="00AB2735">
        <w:rPr>
          <w:rFonts w:asciiTheme="minorHAnsi" w:hAnsiTheme="minorHAnsi" w:cstheme="minorHAnsi"/>
          <w:vertAlign w:val="superscript"/>
          <w:lang w:val="en-CA"/>
        </w:rPr>
        <w:t>2</w:t>
      </w:r>
      <w:r w:rsidR="00DD7B82" w:rsidRPr="00AB2735">
        <w:rPr>
          <w:rFonts w:asciiTheme="minorHAnsi" w:hAnsiTheme="minorHAnsi" w:cstheme="minorHAnsi"/>
          <w:lang w:val="en-CA"/>
        </w:rPr>
        <w:t xml:space="preserve"> = .313, not between males and females F(1, 61) = </w:t>
      </w:r>
      <w:r w:rsidR="005652C4" w:rsidRPr="00AB2735">
        <w:rPr>
          <w:rFonts w:asciiTheme="minorHAnsi" w:hAnsiTheme="minorHAnsi" w:cstheme="minorHAnsi"/>
          <w:lang w:val="en-CA"/>
        </w:rPr>
        <w:t xml:space="preserve">.003, </w:t>
      </w:r>
      <w:r w:rsidR="005652C4" w:rsidRPr="00AB2735">
        <w:rPr>
          <w:rFonts w:asciiTheme="minorHAnsi" w:hAnsiTheme="minorHAnsi" w:cstheme="minorHAnsi"/>
          <w:i/>
          <w:iCs/>
          <w:lang w:val="en-CA"/>
        </w:rPr>
        <w:t>p</w:t>
      </w:r>
      <w:r w:rsidR="005652C4" w:rsidRPr="00AB2735">
        <w:rPr>
          <w:rFonts w:asciiTheme="minorHAnsi" w:hAnsiTheme="minorHAnsi" w:cstheme="minorHAnsi"/>
          <w:lang w:val="en-CA"/>
        </w:rPr>
        <w:t xml:space="preserve"> = .955</w:t>
      </w:r>
      <w:r w:rsidR="00991438" w:rsidRPr="00AB2735">
        <w:rPr>
          <w:rFonts w:asciiTheme="minorHAnsi" w:hAnsiTheme="minorHAnsi" w:cstheme="minorHAnsi"/>
          <w:lang w:val="en-CA"/>
        </w:rPr>
        <w:t>.</w:t>
      </w:r>
      <w:r w:rsidR="005652C4" w:rsidRPr="00AB2735">
        <w:rPr>
          <w:rFonts w:asciiTheme="minorHAnsi" w:hAnsiTheme="minorHAnsi" w:cstheme="minorHAnsi"/>
          <w:lang w:val="en-CA"/>
        </w:rPr>
        <w:t xml:space="preserve"> </w:t>
      </w:r>
    </w:p>
    <w:p w14:paraId="48325C54" w14:textId="123C1A12" w:rsidR="001753D3" w:rsidRPr="00AB2735" w:rsidRDefault="00371E82" w:rsidP="00081957">
      <w:pPr>
        <w:spacing w:line="360" w:lineRule="auto"/>
        <w:rPr>
          <w:rFonts w:asciiTheme="minorHAnsi" w:hAnsiTheme="minorHAnsi" w:cstheme="minorHAnsi"/>
          <w:lang w:val="en-CA"/>
        </w:rPr>
      </w:pPr>
      <w:r w:rsidRPr="00AB2735">
        <w:rPr>
          <w:rFonts w:asciiTheme="minorHAnsi" w:hAnsiTheme="minorHAnsi" w:cstheme="minorHAnsi"/>
          <w:lang w:val="en-CA"/>
        </w:rPr>
        <w:tab/>
        <w:t xml:space="preserve">The </w:t>
      </w:r>
      <w:r w:rsidR="00830FE9" w:rsidRPr="00AB2735">
        <w:rPr>
          <w:rFonts w:asciiTheme="minorHAnsi" w:hAnsiTheme="minorHAnsi" w:cstheme="minorHAnsi"/>
          <w:lang w:val="en-CA"/>
        </w:rPr>
        <w:t xml:space="preserve">two-way </w:t>
      </w:r>
      <w:r w:rsidRPr="00AB2735">
        <w:rPr>
          <w:rFonts w:asciiTheme="minorHAnsi" w:hAnsiTheme="minorHAnsi" w:cstheme="minorHAnsi"/>
          <w:lang w:val="en-CA"/>
        </w:rPr>
        <w:t xml:space="preserve">ANCOVA for attitudes </w:t>
      </w:r>
      <w:r w:rsidR="00991438" w:rsidRPr="00AB2735">
        <w:rPr>
          <w:rFonts w:asciiTheme="minorHAnsi" w:hAnsiTheme="minorHAnsi" w:cstheme="minorHAnsi"/>
          <w:lang w:val="en-CA"/>
        </w:rPr>
        <w:t xml:space="preserve">did not </w:t>
      </w:r>
      <w:r w:rsidR="009621A5" w:rsidRPr="00AB2735">
        <w:rPr>
          <w:rFonts w:asciiTheme="minorHAnsi" w:hAnsiTheme="minorHAnsi" w:cstheme="minorHAnsi"/>
          <w:lang w:val="en-CA"/>
        </w:rPr>
        <w:t xml:space="preserve">reveal a significant </w:t>
      </w:r>
      <w:r w:rsidR="00991438" w:rsidRPr="00AB2735">
        <w:rPr>
          <w:rFonts w:asciiTheme="minorHAnsi" w:hAnsiTheme="minorHAnsi" w:cstheme="minorHAnsi"/>
          <w:lang w:val="en-CA"/>
        </w:rPr>
        <w:t>interaction in</w:t>
      </w:r>
      <w:r w:rsidR="009621A5" w:rsidRPr="00AB2735">
        <w:rPr>
          <w:rFonts w:asciiTheme="minorHAnsi" w:hAnsiTheme="minorHAnsi" w:cstheme="minorHAnsi"/>
          <w:lang w:val="en-CA"/>
        </w:rPr>
        <w:t xml:space="preserve"> group </w:t>
      </w:r>
      <w:r w:rsidR="00991438" w:rsidRPr="00AB2735">
        <w:rPr>
          <w:rFonts w:asciiTheme="minorHAnsi" w:hAnsiTheme="minorHAnsi" w:cstheme="minorHAnsi"/>
          <w:lang w:val="en-CA"/>
        </w:rPr>
        <w:t>by gender</w:t>
      </w:r>
      <w:r w:rsidR="009621A5" w:rsidRPr="00AB2735">
        <w:rPr>
          <w:rFonts w:asciiTheme="minorHAnsi" w:hAnsiTheme="minorHAnsi" w:cstheme="minorHAnsi"/>
          <w:lang w:val="en-CA"/>
        </w:rPr>
        <w:t xml:space="preserve"> controlling for pr</w:t>
      </w:r>
      <w:r w:rsidR="00D14FEA" w:rsidRPr="00AB2735">
        <w:rPr>
          <w:rFonts w:asciiTheme="minorHAnsi" w:hAnsiTheme="minorHAnsi" w:cstheme="minorHAnsi"/>
          <w:lang w:val="en-CA"/>
        </w:rPr>
        <w:t>e</w:t>
      </w:r>
      <w:r w:rsidR="009621A5" w:rsidRPr="00AB2735">
        <w:rPr>
          <w:rFonts w:asciiTheme="minorHAnsi" w:hAnsiTheme="minorHAnsi" w:cstheme="minorHAnsi"/>
          <w:lang w:val="en-CA"/>
        </w:rPr>
        <w:t xml:space="preserve">-test scores </w:t>
      </w:r>
      <w:proofErr w:type="gramStart"/>
      <w:r w:rsidR="009621A5" w:rsidRPr="00AB2735">
        <w:rPr>
          <w:rFonts w:asciiTheme="minorHAnsi" w:hAnsiTheme="minorHAnsi" w:cstheme="minorHAnsi"/>
          <w:lang w:val="en-CA"/>
        </w:rPr>
        <w:t>F(</w:t>
      </w:r>
      <w:proofErr w:type="gramEnd"/>
      <w:r w:rsidR="009621A5" w:rsidRPr="00AB2735">
        <w:rPr>
          <w:rFonts w:asciiTheme="minorHAnsi" w:hAnsiTheme="minorHAnsi" w:cstheme="minorHAnsi"/>
          <w:lang w:val="en-CA"/>
        </w:rPr>
        <w:t>1,6</w:t>
      </w:r>
      <w:r w:rsidR="00991438" w:rsidRPr="00AB2735">
        <w:rPr>
          <w:rFonts w:asciiTheme="minorHAnsi" w:hAnsiTheme="minorHAnsi" w:cstheme="minorHAnsi"/>
          <w:lang w:val="en-CA"/>
        </w:rPr>
        <w:t>1</w:t>
      </w:r>
      <w:r w:rsidR="009621A5" w:rsidRPr="00AB2735">
        <w:rPr>
          <w:rFonts w:asciiTheme="minorHAnsi" w:hAnsiTheme="minorHAnsi" w:cstheme="minorHAnsi"/>
          <w:lang w:val="en-CA"/>
        </w:rPr>
        <w:t xml:space="preserve">) = </w:t>
      </w:r>
      <w:r w:rsidR="00991438" w:rsidRPr="00AB2735">
        <w:rPr>
          <w:rFonts w:asciiTheme="minorHAnsi" w:hAnsiTheme="minorHAnsi" w:cstheme="minorHAnsi"/>
          <w:lang w:val="en-CA"/>
        </w:rPr>
        <w:t>.240</w:t>
      </w:r>
      <w:r w:rsidR="009621A5" w:rsidRPr="00AB2735">
        <w:rPr>
          <w:rFonts w:asciiTheme="minorHAnsi" w:hAnsiTheme="minorHAnsi" w:cstheme="minorHAnsi"/>
          <w:lang w:val="en-CA"/>
        </w:rPr>
        <w:t xml:space="preserve">, </w:t>
      </w:r>
      <w:r w:rsidR="009621A5" w:rsidRPr="00AB2735">
        <w:rPr>
          <w:rFonts w:asciiTheme="minorHAnsi" w:hAnsiTheme="minorHAnsi" w:cstheme="minorHAnsi"/>
          <w:i/>
          <w:iCs/>
          <w:lang w:val="en-CA"/>
        </w:rPr>
        <w:t>p</w:t>
      </w:r>
      <w:r w:rsidR="004E5111" w:rsidRPr="00AB2735">
        <w:rPr>
          <w:rFonts w:asciiTheme="minorHAnsi" w:hAnsiTheme="minorHAnsi" w:cstheme="minorHAnsi"/>
          <w:i/>
          <w:iCs/>
          <w:lang w:val="en-CA"/>
        </w:rPr>
        <w:t xml:space="preserve"> </w:t>
      </w:r>
      <w:r w:rsidR="009621A5" w:rsidRPr="00AB2735">
        <w:rPr>
          <w:rFonts w:asciiTheme="minorHAnsi" w:hAnsiTheme="minorHAnsi" w:cstheme="minorHAnsi"/>
          <w:lang w:val="en-CA"/>
        </w:rPr>
        <w:t>=</w:t>
      </w:r>
      <w:r w:rsidR="004E5111" w:rsidRPr="00AB2735">
        <w:rPr>
          <w:rFonts w:asciiTheme="minorHAnsi" w:hAnsiTheme="minorHAnsi" w:cstheme="minorHAnsi"/>
          <w:lang w:val="en-CA"/>
        </w:rPr>
        <w:t xml:space="preserve"> </w:t>
      </w:r>
      <w:r w:rsidR="009621A5" w:rsidRPr="00AB2735">
        <w:rPr>
          <w:rFonts w:asciiTheme="minorHAnsi" w:hAnsiTheme="minorHAnsi" w:cstheme="minorHAnsi"/>
          <w:lang w:val="en-CA"/>
        </w:rPr>
        <w:t>.</w:t>
      </w:r>
      <w:r w:rsidR="00991438" w:rsidRPr="00AB2735">
        <w:rPr>
          <w:rFonts w:asciiTheme="minorHAnsi" w:hAnsiTheme="minorHAnsi" w:cstheme="minorHAnsi"/>
          <w:lang w:val="en-CA"/>
        </w:rPr>
        <w:t>626</w:t>
      </w:r>
      <w:r w:rsidR="009621A5" w:rsidRPr="00AB2735">
        <w:rPr>
          <w:rFonts w:asciiTheme="minorHAnsi" w:hAnsiTheme="minorHAnsi" w:cstheme="minorHAnsi"/>
          <w:lang w:val="en-CA"/>
        </w:rPr>
        <w:t>. This also indicates that the</w:t>
      </w:r>
      <w:r w:rsidR="00991438" w:rsidRPr="00AB2735">
        <w:rPr>
          <w:rFonts w:asciiTheme="minorHAnsi" w:hAnsiTheme="minorHAnsi" w:cstheme="minorHAnsi"/>
          <w:lang w:val="en-CA"/>
        </w:rPr>
        <w:t xml:space="preserve">re is no interaction between gender and group. However, main effects show that there are significant differences for mean attitude scores between male and female participants </w:t>
      </w:r>
      <w:proofErr w:type="gramStart"/>
      <w:r w:rsidR="00991438" w:rsidRPr="00AB2735">
        <w:rPr>
          <w:rFonts w:asciiTheme="minorHAnsi" w:hAnsiTheme="minorHAnsi" w:cstheme="minorHAnsi"/>
          <w:lang w:val="en-CA"/>
        </w:rPr>
        <w:t>F(</w:t>
      </w:r>
      <w:proofErr w:type="gramEnd"/>
      <w:r w:rsidR="00991438" w:rsidRPr="00AB2735">
        <w:rPr>
          <w:rFonts w:asciiTheme="minorHAnsi" w:hAnsiTheme="minorHAnsi" w:cstheme="minorHAnsi"/>
          <w:lang w:val="en-CA"/>
        </w:rPr>
        <w:t xml:space="preserve">1,61) = 4.109, </w:t>
      </w:r>
      <w:r w:rsidR="00991438" w:rsidRPr="00AB2735">
        <w:rPr>
          <w:rFonts w:asciiTheme="minorHAnsi" w:hAnsiTheme="minorHAnsi" w:cstheme="minorHAnsi"/>
          <w:i/>
          <w:iCs/>
          <w:lang w:val="en-CA"/>
        </w:rPr>
        <w:t>p</w:t>
      </w:r>
      <w:r w:rsidR="00991438" w:rsidRPr="00AB2735">
        <w:rPr>
          <w:rFonts w:asciiTheme="minorHAnsi" w:hAnsiTheme="minorHAnsi" w:cstheme="minorHAnsi"/>
          <w:lang w:val="en-CA"/>
        </w:rPr>
        <w:t xml:space="preserve"> &lt;.05, h</w:t>
      </w:r>
      <w:r w:rsidR="00991438" w:rsidRPr="00AB2735">
        <w:rPr>
          <w:rFonts w:asciiTheme="minorHAnsi" w:hAnsiTheme="minorHAnsi" w:cstheme="minorHAnsi"/>
          <w:vertAlign w:val="subscript"/>
          <w:lang w:val="en-CA"/>
        </w:rPr>
        <w:t>p</w:t>
      </w:r>
      <w:r w:rsidR="00991438" w:rsidRPr="00AB2735">
        <w:rPr>
          <w:rFonts w:asciiTheme="minorHAnsi" w:hAnsiTheme="minorHAnsi" w:cstheme="minorHAnsi"/>
          <w:vertAlign w:val="superscript"/>
          <w:lang w:val="en-CA"/>
        </w:rPr>
        <w:t>2</w:t>
      </w:r>
      <w:r w:rsidR="00991438" w:rsidRPr="00AB2735">
        <w:rPr>
          <w:rFonts w:asciiTheme="minorHAnsi" w:hAnsiTheme="minorHAnsi" w:cstheme="minorHAnsi"/>
          <w:lang w:val="en-CA"/>
        </w:rPr>
        <w:t xml:space="preserve"> = </w:t>
      </w:r>
      <w:r w:rsidR="009C0CBF" w:rsidRPr="00AB2735">
        <w:rPr>
          <w:rFonts w:asciiTheme="minorHAnsi" w:hAnsiTheme="minorHAnsi" w:cstheme="minorHAnsi"/>
          <w:lang w:val="en-CA"/>
        </w:rPr>
        <w:t>.063</w:t>
      </w:r>
      <w:r w:rsidR="00E5528B" w:rsidRPr="00AB2735">
        <w:rPr>
          <w:rFonts w:asciiTheme="minorHAnsi" w:hAnsiTheme="minorHAnsi" w:cstheme="minorHAnsi"/>
          <w:lang w:val="en-CA"/>
        </w:rPr>
        <w:t xml:space="preserve"> and between the experimental and control groups F(1,61) = 19.138,</w:t>
      </w:r>
      <w:r w:rsidR="00E5528B" w:rsidRPr="00AB2735">
        <w:rPr>
          <w:rFonts w:asciiTheme="minorHAnsi" w:hAnsiTheme="minorHAnsi" w:cstheme="minorHAnsi"/>
          <w:i/>
          <w:iCs/>
          <w:lang w:val="en-CA"/>
        </w:rPr>
        <w:t xml:space="preserve"> p</w:t>
      </w:r>
      <w:r w:rsidR="00E5528B" w:rsidRPr="00AB2735">
        <w:rPr>
          <w:rFonts w:asciiTheme="minorHAnsi" w:hAnsiTheme="minorHAnsi" w:cstheme="minorHAnsi"/>
          <w:lang w:val="en-CA"/>
        </w:rPr>
        <w:t xml:space="preserve"> &lt;.001, h</w:t>
      </w:r>
      <w:r w:rsidR="00E5528B" w:rsidRPr="00AB2735">
        <w:rPr>
          <w:rFonts w:asciiTheme="minorHAnsi" w:hAnsiTheme="minorHAnsi" w:cstheme="minorHAnsi"/>
          <w:vertAlign w:val="subscript"/>
          <w:lang w:val="en-CA"/>
        </w:rPr>
        <w:t>p</w:t>
      </w:r>
      <w:r w:rsidR="00E5528B" w:rsidRPr="00AB2735">
        <w:rPr>
          <w:rFonts w:asciiTheme="minorHAnsi" w:hAnsiTheme="minorHAnsi" w:cstheme="minorHAnsi"/>
          <w:vertAlign w:val="superscript"/>
          <w:lang w:val="en-CA"/>
        </w:rPr>
        <w:t>2</w:t>
      </w:r>
      <w:r w:rsidR="00E5528B" w:rsidRPr="00AB2735">
        <w:rPr>
          <w:rFonts w:asciiTheme="minorHAnsi" w:hAnsiTheme="minorHAnsi" w:cstheme="minorHAnsi"/>
          <w:lang w:val="en-CA"/>
        </w:rPr>
        <w:t xml:space="preserve"> </w:t>
      </w:r>
      <w:r w:rsidR="00E5528B" w:rsidRPr="00AB2735">
        <w:rPr>
          <w:rFonts w:asciiTheme="minorHAnsi" w:hAnsiTheme="minorHAnsi" w:cstheme="minorHAnsi"/>
          <w:lang w:val="en-CA"/>
        </w:rPr>
        <w:lastRenderedPageBreak/>
        <w:t>= .239.</w:t>
      </w:r>
      <w:r w:rsidR="00FE2208" w:rsidRPr="00AB2735">
        <w:rPr>
          <w:rFonts w:asciiTheme="minorHAnsi" w:hAnsiTheme="minorHAnsi" w:cstheme="minorHAnsi"/>
          <w:lang w:val="en-CA"/>
        </w:rPr>
        <w:t xml:space="preserve"> Female students performed significantly better in both control (M=62.73, SD=9.57) and the experimental group (M=74.46</w:t>
      </w:r>
      <w:r w:rsidR="00DD2AD3" w:rsidRPr="00AB2735">
        <w:rPr>
          <w:rFonts w:asciiTheme="minorHAnsi" w:hAnsiTheme="minorHAnsi" w:cstheme="minorHAnsi"/>
          <w:lang w:val="en-CA"/>
        </w:rPr>
        <w:t>, SD=7.45</w:t>
      </w:r>
      <w:r w:rsidR="00FE2208" w:rsidRPr="00AB2735">
        <w:rPr>
          <w:rFonts w:asciiTheme="minorHAnsi" w:hAnsiTheme="minorHAnsi" w:cstheme="minorHAnsi"/>
          <w:lang w:val="en-CA"/>
        </w:rPr>
        <w:t>)</w:t>
      </w:r>
      <w:r w:rsidR="00DD2AD3" w:rsidRPr="00AB2735">
        <w:rPr>
          <w:rFonts w:asciiTheme="minorHAnsi" w:hAnsiTheme="minorHAnsi" w:cstheme="minorHAnsi"/>
          <w:lang w:val="en-CA"/>
        </w:rPr>
        <w:t xml:space="preserve"> than male students</w:t>
      </w:r>
      <w:r w:rsidR="00FE2208" w:rsidRPr="00AB2735">
        <w:rPr>
          <w:rFonts w:asciiTheme="minorHAnsi" w:hAnsiTheme="minorHAnsi" w:cstheme="minorHAnsi"/>
          <w:lang w:val="en-CA"/>
        </w:rPr>
        <w:t xml:space="preserve"> (M=</w:t>
      </w:r>
      <w:r w:rsidR="00DD2AD3" w:rsidRPr="00AB2735">
        <w:rPr>
          <w:rFonts w:asciiTheme="minorHAnsi" w:hAnsiTheme="minorHAnsi" w:cstheme="minorHAnsi"/>
          <w:lang w:val="en-CA"/>
        </w:rPr>
        <w:t>59.47, SD=10.87</w:t>
      </w:r>
      <w:r w:rsidR="00FE2208" w:rsidRPr="00AB2735">
        <w:rPr>
          <w:rFonts w:asciiTheme="minorHAnsi" w:hAnsiTheme="minorHAnsi" w:cstheme="minorHAnsi"/>
          <w:lang w:val="en-CA"/>
        </w:rPr>
        <w:t>)</w:t>
      </w:r>
      <w:r w:rsidR="00DD2AD3" w:rsidRPr="00AB2735">
        <w:rPr>
          <w:rFonts w:asciiTheme="minorHAnsi" w:hAnsiTheme="minorHAnsi" w:cstheme="minorHAnsi"/>
          <w:lang w:val="en-CA"/>
        </w:rPr>
        <w:t xml:space="preserve"> in the control and experimental group (M=68.92, SD=12.35), although male students improved their attitudes at post-test</w:t>
      </w:r>
      <w:r w:rsidR="00FE2208" w:rsidRPr="00AB2735">
        <w:rPr>
          <w:rFonts w:asciiTheme="minorHAnsi" w:hAnsiTheme="minorHAnsi" w:cstheme="minorHAnsi"/>
          <w:lang w:val="en-CA"/>
        </w:rPr>
        <w:t xml:space="preserve">. </w:t>
      </w:r>
      <w:r w:rsidR="009621A5" w:rsidRPr="00AB2735">
        <w:rPr>
          <w:rFonts w:asciiTheme="minorHAnsi" w:hAnsiTheme="minorHAnsi" w:cstheme="minorHAnsi"/>
          <w:lang w:val="en-CA"/>
        </w:rPr>
        <w:t xml:space="preserve"> </w:t>
      </w:r>
      <w:r w:rsidR="00E93AAC" w:rsidRPr="00AB2735">
        <w:rPr>
          <w:rFonts w:asciiTheme="minorHAnsi" w:hAnsiTheme="minorHAnsi" w:cstheme="minorHAnsi"/>
          <w:lang w:val="en-CA"/>
        </w:rPr>
        <w:t>The ANCOVA for help-seeking</w:t>
      </w:r>
      <w:r w:rsidR="00DD2AD3" w:rsidRPr="00AB2735">
        <w:rPr>
          <w:rFonts w:asciiTheme="minorHAnsi" w:hAnsiTheme="minorHAnsi" w:cstheme="minorHAnsi"/>
          <w:lang w:val="en-CA"/>
        </w:rPr>
        <w:t xml:space="preserve"> </w:t>
      </w:r>
      <w:r w:rsidR="00E93AAC" w:rsidRPr="00AB2735">
        <w:rPr>
          <w:rFonts w:asciiTheme="minorHAnsi" w:hAnsiTheme="minorHAnsi" w:cstheme="minorHAnsi"/>
          <w:lang w:val="en-CA"/>
        </w:rPr>
        <w:t xml:space="preserve">did not reveal statistically significant </w:t>
      </w:r>
      <w:r w:rsidR="00E53FAB" w:rsidRPr="00AB2735">
        <w:rPr>
          <w:rFonts w:asciiTheme="minorHAnsi" w:hAnsiTheme="minorHAnsi" w:cstheme="minorHAnsi"/>
          <w:lang w:val="en-CA"/>
        </w:rPr>
        <w:t xml:space="preserve">interaction </w:t>
      </w:r>
      <w:r w:rsidR="00E93AAC" w:rsidRPr="00AB2735">
        <w:rPr>
          <w:rFonts w:asciiTheme="minorHAnsi" w:hAnsiTheme="minorHAnsi" w:cstheme="minorHAnsi"/>
          <w:lang w:val="en-CA"/>
        </w:rPr>
        <w:t>results</w:t>
      </w:r>
      <w:r w:rsidR="00E53FAB" w:rsidRPr="00AB2735">
        <w:rPr>
          <w:rFonts w:asciiTheme="minorHAnsi" w:hAnsiTheme="minorHAnsi" w:cstheme="minorHAnsi"/>
          <w:lang w:val="en-CA"/>
        </w:rPr>
        <w:t xml:space="preserve"> for gender by group </w:t>
      </w:r>
      <w:proofErr w:type="gramStart"/>
      <w:r w:rsidR="004E5111" w:rsidRPr="00AB2735">
        <w:rPr>
          <w:rFonts w:asciiTheme="minorHAnsi" w:hAnsiTheme="minorHAnsi" w:cstheme="minorHAnsi"/>
          <w:lang w:val="en-CA"/>
        </w:rPr>
        <w:t>F(</w:t>
      </w:r>
      <w:proofErr w:type="gramEnd"/>
      <w:r w:rsidR="004E5111" w:rsidRPr="00AB2735">
        <w:rPr>
          <w:rFonts w:asciiTheme="minorHAnsi" w:hAnsiTheme="minorHAnsi" w:cstheme="minorHAnsi"/>
          <w:lang w:val="en-CA"/>
        </w:rPr>
        <w:t>1,6</w:t>
      </w:r>
      <w:r w:rsidR="00E53FAB" w:rsidRPr="00AB2735">
        <w:rPr>
          <w:rFonts w:asciiTheme="minorHAnsi" w:hAnsiTheme="minorHAnsi" w:cstheme="minorHAnsi"/>
          <w:lang w:val="en-CA"/>
        </w:rPr>
        <w:t>0</w:t>
      </w:r>
      <w:r w:rsidR="004E5111" w:rsidRPr="00AB2735">
        <w:rPr>
          <w:rFonts w:asciiTheme="minorHAnsi" w:hAnsiTheme="minorHAnsi" w:cstheme="minorHAnsi"/>
          <w:lang w:val="en-CA"/>
        </w:rPr>
        <w:t xml:space="preserve">) = </w:t>
      </w:r>
      <w:r w:rsidR="00B05B41" w:rsidRPr="00AB2735">
        <w:rPr>
          <w:rFonts w:asciiTheme="minorHAnsi" w:hAnsiTheme="minorHAnsi" w:cstheme="minorHAnsi"/>
          <w:lang w:val="en-CA"/>
        </w:rPr>
        <w:t>.467</w:t>
      </w:r>
      <w:r w:rsidR="004E5111" w:rsidRPr="00AB2735">
        <w:rPr>
          <w:rFonts w:asciiTheme="minorHAnsi" w:hAnsiTheme="minorHAnsi" w:cstheme="minorHAnsi"/>
          <w:lang w:val="en-CA"/>
        </w:rPr>
        <w:t xml:space="preserve">, </w:t>
      </w:r>
      <w:r w:rsidR="004E5111" w:rsidRPr="00AB2735">
        <w:rPr>
          <w:rFonts w:asciiTheme="minorHAnsi" w:hAnsiTheme="minorHAnsi" w:cstheme="minorHAnsi"/>
          <w:i/>
          <w:iCs/>
          <w:lang w:val="en-CA"/>
        </w:rPr>
        <w:t xml:space="preserve">p </w:t>
      </w:r>
      <w:r w:rsidR="004E5111" w:rsidRPr="00AB2735">
        <w:rPr>
          <w:rFonts w:asciiTheme="minorHAnsi" w:hAnsiTheme="minorHAnsi" w:cstheme="minorHAnsi"/>
          <w:lang w:val="en-CA"/>
        </w:rPr>
        <w:t>= .</w:t>
      </w:r>
      <w:r w:rsidR="00B05B41" w:rsidRPr="00AB2735">
        <w:rPr>
          <w:rFonts w:asciiTheme="minorHAnsi" w:hAnsiTheme="minorHAnsi" w:cstheme="minorHAnsi"/>
          <w:lang w:val="en-CA"/>
        </w:rPr>
        <w:t>497</w:t>
      </w:r>
      <w:r w:rsidR="004E5111" w:rsidRPr="00AB2735">
        <w:rPr>
          <w:rFonts w:asciiTheme="minorHAnsi" w:hAnsiTheme="minorHAnsi" w:cstheme="minorHAnsi"/>
          <w:lang w:val="en-CA"/>
        </w:rPr>
        <w:t xml:space="preserve">. </w:t>
      </w:r>
      <w:r w:rsidR="009F1FED" w:rsidRPr="00AB2735">
        <w:rPr>
          <w:rFonts w:asciiTheme="minorHAnsi" w:hAnsiTheme="minorHAnsi" w:cstheme="minorHAnsi"/>
          <w:lang w:val="en-CA"/>
        </w:rPr>
        <w:t xml:space="preserve">Main effects analyses also showed no differences between genders </w:t>
      </w:r>
      <w:proofErr w:type="gramStart"/>
      <w:r w:rsidR="009F1FED" w:rsidRPr="00AB2735">
        <w:rPr>
          <w:rFonts w:asciiTheme="minorHAnsi" w:hAnsiTheme="minorHAnsi" w:cstheme="minorHAnsi"/>
          <w:lang w:val="en-CA"/>
        </w:rPr>
        <w:t>F(</w:t>
      </w:r>
      <w:proofErr w:type="gramEnd"/>
      <w:r w:rsidR="009F1FED" w:rsidRPr="00AB2735">
        <w:rPr>
          <w:rFonts w:asciiTheme="minorHAnsi" w:hAnsiTheme="minorHAnsi" w:cstheme="minorHAnsi"/>
          <w:lang w:val="en-CA"/>
        </w:rPr>
        <w:t xml:space="preserve">1,60) = .939, </w:t>
      </w:r>
      <w:r w:rsidR="009F1FED" w:rsidRPr="00AB2735">
        <w:rPr>
          <w:rFonts w:asciiTheme="minorHAnsi" w:hAnsiTheme="minorHAnsi" w:cstheme="minorHAnsi"/>
          <w:i/>
          <w:iCs/>
          <w:lang w:val="en-CA"/>
        </w:rPr>
        <w:t xml:space="preserve">p </w:t>
      </w:r>
      <w:r w:rsidR="009F1FED" w:rsidRPr="00AB2735">
        <w:rPr>
          <w:rFonts w:asciiTheme="minorHAnsi" w:hAnsiTheme="minorHAnsi" w:cstheme="minorHAnsi"/>
          <w:lang w:val="en-CA"/>
        </w:rPr>
        <w:t xml:space="preserve">=.336, nor between groups F(1,60) = 1.800, </w:t>
      </w:r>
      <w:r w:rsidR="009F1FED" w:rsidRPr="00AB2735">
        <w:rPr>
          <w:rFonts w:asciiTheme="minorHAnsi" w:hAnsiTheme="minorHAnsi" w:cstheme="minorHAnsi"/>
          <w:i/>
          <w:iCs/>
          <w:lang w:val="en-CA"/>
        </w:rPr>
        <w:t xml:space="preserve">p </w:t>
      </w:r>
      <w:r w:rsidR="009F1FED" w:rsidRPr="00AB2735">
        <w:rPr>
          <w:rFonts w:asciiTheme="minorHAnsi" w:hAnsiTheme="minorHAnsi" w:cstheme="minorHAnsi"/>
          <w:lang w:val="en-CA"/>
        </w:rPr>
        <w:t xml:space="preserve">= .185. </w:t>
      </w:r>
    </w:p>
    <w:p w14:paraId="7228AB2A" w14:textId="68EBE5FB" w:rsidR="00C10521" w:rsidRPr="00AB2735" w:rsidRDefault="005F2EB1" w:rsidP="00834B4A">
      <w:pPr>
        <w:spacing w:line="360" w:lineRule="auto"/>
        <w:rPr>
          <w:rFonts w:asciiTheme="minorHAnsi" w:hAnsiTheme="minorHAnsi" w:cstheme="minorHAnsi"/>
          <w:b/>
          <w:color w:val="800080"/>
          <w:lang w:val="en-CA"/>
        </w:rPr>
      </w:pPr>
      <w:r w:rsidRPr="00AB2735">
        <w:rPr>
          <w:rFonts w:asciiTheme="minorHAnsi" w:hAnsiTheme="minorHAnsi" w:cstheme="minorHAnsi"/>
          <w:b/>
          <w:color w:val="800080"/>
          <w:lang w:val="en-CA"/>
        </w:rPr>
        <w:t>Qualitative Analysis</w:t>
      </w:r>
    </w:p>
    <w:p w14:paraId="4CADA540" w14:textId="45FA9BEF" w:rsidR="007253DF" w:rsidRPr="00AB2735" w:rsidRDefault="005F2EB1" w:rsidP="007253DF">
      <w:pPr>
        <w:autoSpaceDE w:val="0"/>
        <w:autoSpaceDN w:val="0"/>
        <w:adjustRightInd w:val="0"/>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Two questions were asked of students to assess their views on </w:t>
      </w:r>
      <w:r w:rsidR="00671E18" w:rsidRPr="00AB2735">
        <w:rPr>
          <w:rFonts w:asciiTheme="minorHAnsi" w:hAnsiTheme="minorHAnsi" w:cstheme="minorHAnsi"/>
          <w:lang w:val="en-CA"/>
        </w:rPr>
        <w:t>whether</w:t>
      </w:r>
      <w:r w:rsidRPr="00AB2735">
        <w:rPr>
          <w:rFonts w:asciiTheme="minorHAnsi" w:hAnsiTheme="minorHAnsi" w:cstheme="minorHAnsi"/>
          <w:lang w:val="en-CA"/>
        </w:rPr>
        <w:t xml:space="preserve"> this resource would be beneficial for younger students. These questions were open-ended, allowing for </w:t>
      </w:r>
      <w:r w:rsidR="00834B4A" w:rsidRPr="00AB2735">
        <w:rPr>
          <w:rFonts w:asciiTheme="minorHAnsi" w:hAnsiTheme="minorHAnsi" w:cstheme="minorHAnsi"/>
          <w:lang w:val="en-CA"/>
        </w:rPr>
        <w:t xml:space="preserve">the students to answer truthfully and say as much as </w:t>
      </w:r>
      <w:proofErr w:type="gramStart"/>
      <w:r w:rsidR="00834B4A" w:rsidRPr="00AB2735">
        <w:rPr>
          <w:rFonts w:asciiTheme="minorHAnsi" w:hAnsiTheme="minorHAnsi" w:cstheme="minorHAnsi"/>
          <w:lang w:val="en-CA"/>
        </w:rPr>
        <w:t>they’d</w:t>
      </w:r>
      <w:proofErr w:type="gramEnd"/>
      <w:r w:rsidR="00834B4A" w:rsidRPr="00AB2735">
        <w:rPr>
          <w:rFonts w:asciiTheme="minorHAnsi" w:hAnsiTheme="minorHAnsi" w:cstheme="minorHAnsi"/>
          <w:lang w:val="en-CA"/>
        </w:rPr>
        <w:t xml:space="preserve"> like about each topic. All 37 students who participated in the experimental group answered the two question</w:t>
      </w:r>
      <w:r w:rsidR="00F5152D" w:rsidRPr="00AB2735">
        <w:rPr>
          <w:rFonts w:asciiTheme="minorHAnsi" w:hAnsiTheme="minorHAnsi" w:cstheme="minorHAnsi"/>
          <w:lang w:val="en-CA"/>
        </w:rPr>
        <w:t>s</w:t>
      </w:r>
      <w:r w:rsidR="00834B4A" w:rsidRPr="00AB2735">
        <w:rPr>
          <w:rFonts w:asciiTheme="minorHAnsi" w:hAnsiTheme="minorHAnsi" w:cstheme="minorHAnsi"/>
          <w:lang w:val="en-CA"/>
        </w:rPr>
        <w:t xml:space="preserve">. </w:t>
      </w:r>
      <w:r w:rsidR="00F27CCA" w:rsidRPr="00AB2735">
        <w:rPr>
          <w:rFonts w:asciiTheme="minorHAnsi" w:hAnsiTheme="minorHAnsi" w:cstheme="minorHAnsi"/>
          <w:lang w:val="en-CA"/>
        </w:rPr>
        <w:t xml:space="preserve">An overwhelming majority of students expressed enthusiasm and appreciation for the content of this curriculum. </w:t>
      </w:r>
      <w:r w:rsidR="00442E7B" w:rsidRPr="00AB2735">
        <w:rPr>
          <w:rFonts w:asciiTheme="minorHAnsi" w:hAnsiTheme="minorHAnsi" w:cstheme="minorHAnsi"/>
          <w:lang w:val="en-CA"/>
        </w:rPr>
        <w:t>Most stated that they think the topics discussed were important for youth to learn in middle school.</w:t>
      </w:r>
    </w:p>
    <w:p w14:paraId="588361EA" w14:textId="22FB5234" w:rsidR="00725CE3" w:rsidRPr="00AB2735" w:rsidRDefault="005F2EB1" w:rsidP="007253DF">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hAnsiTheme="minorHAnsi" w:cstheme="minorHAnsi"/>
          <w:lang w:val="en-CA"/>
        </w:rPr>
        <w:t>The first question was “Do you think learning</w:t>
      </w:r>
      <w:r w:rsidR="00834B4A" w:rsidRPr="00AB2735">
        <w:rPr>
          <w:rFonts w:asciiTheme="minorHAnsi" w:hAnsiTheme="minorHAnsi" w:cstheme="minorHAnsi"/>
          <w:lang w:val="en-CA"/>
        </w:rPr>
        <w:t xml:space="preserve"> about mental health in middle school is important? Please explain in detail why or why not.”</w:t>
      </w:r>
      <w:r w:rsidR="00D81F95" w:rsidRPr="00AB2735">
        <w:rPr>
          <w:rFonts w:asciiTheme="minorHAnsi" w:hAnsiTheme="minorHAnsi" w:cstheme="minorHAnsi"/>
          <w:lang w:val="en-CA"/>
        </w:rPr>
        <w:t xml:space="preserve"> </w:t>
      </w:r>
      <w:r w:rsidR="007253DF" w:rsidRPr="00AB2735">
        <w:rPr>
          <w:rFonts w:asciiTheme="minorHAnsi" w:eastAsia="Times New Roman" w:hAnsiTheme="minorHAnsi" w:cstheme="minorHAnsi"/>
          <w:color w:val="000000"/>
          <w:bdr w:val="none" w:sz="0" w:space="0" w:color="auto" w:frame="1"/>
          <w:lang w:eastAsia="en-CA"/>
        </w:rPr>
        <w:t>P</w:t>
      </w:r>
      <w:r w:rsidR="00B043CE" w:rsidRPr="00AB2735">
        <w:rPr>
          <w:rFonts w:asciiTheme="minorHAnsi" w:eastAsia="Times New Roman" w:hAnsiTheme="minorHAnsi" w:cstheme="minorHAnsi"/>
          <w:color w:val="000000"/>
          <w:bdr w:val="none" w:sz="0" w:space="0" w:color="auto" w:frame="1"/>
          <w:lang w:eastAsia="en-CA"/>
        </w:rPr>
        <w:t xml:space="preserve">articipants identified the importance of learning mental health in </w:t>
      </w:r>
      <w:r w:rsidR="007253DF" w:rsidRPr="00AB2735">
        <w:rPr>
          <w:rFonts w:asciiTheme="minorHAnsi" w:eastAsia="Times New Roman" w:hAnsiTheme="minorHAnsi" w:cstheme="minorHAnsi"/>
          <w:color w:val="000000"/>
          <w:bdr w:val="none" w:sz="0" w:space="0" w:color="auto" w:frame="1"/>
          <w:lang w:eastAsia="en-CA"/>
        </w:rPr>
        <w:t>six</w:t>
      </w:r>
      <w:r w:rsidR="00B043CE" w:rsidRPr="00AB2735">
        <w:rPr>
          <w:rFonts w:asciiTheme="minorHAnsi" w:eastAsia="Times New Roman" w:hAnsiTheme="minorHAnsi" w:cstheme="minorHAnsi"/>
          <w:color w:val="000000"/>
          <w:bdr w:val="none" w:sz="0" w:space="0" w:color="auto" w:frame="1"/>
          <w:lang w:eastAsia="en-CA"/>
        </w:rPr>
        <w:t xml:space="preserve"> areas. </w:t>
      </w:r>
      <w:r w:rsidR="00725CE3" w:rsidRPr="00AB2735">
        <w:rPr>
          <w:rFonts w:asciiTheme="minorHAnsi" w:eastAsia="Times New Roman" w:hAnsiTheme="minorHAnsi" w:cstheme="minorHAnsi"/>
          <w:color w:val="000000"/>
          <w:bdr w:val="none" w:sz="0" w:space="0" w:color="auto" w:frame="1"/>
          <w:lang w:eastAsia="en-CA"/>
        </w:rPr>
        <w:t xml:space="preserve">The six key </w:t>
      </w:r>
      <w:r w:rsidR="00155BFC" w:rsidRPr="00AB2735">
        <w:rPr>
          <w:rFonts w:asciiTheme="minorHAnsi" w:eastAsia="Times New Roman" w:hAnsiTheme="minorHAnsi" w:cstheme="minorHAnsi"/>
          <w:color w:val="000000"/>
          <w:bdr w:val="none" w:sz="0" w:space="0" w:color="auto" w:frame="1"/>
          <w:lang w:eastAsia="en-CA"/>
        </w:rPr>
        <w:t>categories that emerged when in discussion with</w:t>
      </w:r>
      <w:r w:rsidR="00725CE3" w:rsidRPr="00AB2735">
        <w:rPr>
          <w:rFonts w:asciiTheme="minorHAnsi" w:eastAsia="Times New Roman" w:hAnsiTheme="minorHAnsi" w:cstheme="minorHAnsi"/>
          <w:color w:val="000000"/>
          <w:bdr w:val="none" w:sz="0" w:space="0" w:color="auto" w:frame="1"/>
          <w:lang w:eastAsia="en-CA"/>
        </w:rPr>
        <w:t xml:space="preserve"> the students are: help-seeking, stigma, preparing for the future, learning when young, brain development/science, and literacy. </w:t>
      </w:r>
      <w:r w:rsidR="00B043CE" w:rsidRPr="00AB2735">
        <w:rPr>
          <w:rFonts w:asciiTheme="minorHAnsi" w:eastAsia="Times New Roman" w:hAnsiTheme="minorHAnsi" w:cstheme="minorHAnsi"/>
          <w:color w:val="000000"/>
          <w:bdr w:val="none" w:sz="0" w:space="0" w:color="auto" w:frame="1"/>
          <w:lang w:eastAsia="en-CA"/>
        </w:rPr>
        <w:t xml:space="preserve">They considered getting appropriate help </w:t>
      </w:r>
      <w:r w:rsidR="00725CE3" w:rsidRPr="00AB2735">
        <w:rPr>
          <w:rFonts w:asciiTheme="minorHAnsi" w:eastAsia="Times New Roman" w:hAnsiTheme="minorHAnsi" w:cstheme="minorHAnsi"/>
          <w:color w:val="000000"/>
          <w:bdr w:val="none" w:sz="0" w:space="0" w:color="auto" w:frame="1"/>
          <w:lang w:eastAsia="en-CA"/>
        </w:rPr>
        <w:t xml:space="preserve">or help-seeking </w:t>
      </w:r>
      <w:r w:rsidR="00B043CE" w:rsidRPr="00AB2735">
        <w:rPr>
          <w:rFonts w:asciiTheme="minorHAnsi" w:eastAsia="Times New Roman" w:hAnsiTheme="minorHAnsi" w:cstheme="minorHAnsi"/>
          <w:color w:val="000000"/>
          <w:bdr w:val="none" w:sz="0" w:space="0" w:color="auto" w:frame="1"/>
          <w:lang w:eastAsia="en-CA"/>
        </w:rPr>
        <w:t xml:space="preserve">as the most important benefit. </w:t>
      </w:r>
      <w:r w:rsidR="007E6FAA" w:rsidRPr="00AB2735">
        <w:rPr>
          <w:rFonts w:asciiTheme="minorHAnsi" w:eastAsia="Times New Roman" w:hAnsiTheme="minorHAnsi" w:cstheme="minorHAnsi"/>
          <w:color w:val="000000"/>
          <w:bdr w:val="none" w:sz="0" w:space="0" w:color="auto" w:frame="1"/>
          <w:lang w:eastAsia="en-CA"/>
        </w:rPr>
        <w:t>Nineteen</w:t>
      </w:r>
      <w:r w:rsidR="00B043CE" w:rsidRPr="00AB2735">
        <w:rPr>
          <w:rFonts w:asciiTheme="minorHAnsi" w:eastAsia="Times New Roman" w:hAnsiTheme="minorHAnsi" w:cstheme="minorHAnsi"/>
          <w:color w:val="000000"/>
          <w:bdr w:val="none" w:sz="0" w:space="0" w:color="auto" w:frame="1"/>
          <w:lang w:eastAsia="en-CA"/>
        </w:rPr>
        <w:t xml:space="preserve"> students stated that they felt they can get the right help for themselves, </w:t>
      </w:r>
      <w:proofErr w:type="gramStart"/>
      <w:r w:rsidR="00B043CE" w:rsidRPr="00AB2735">
        <w:rPr>
          <w:rFonts w:asciiTheme="minorHAnsi" w:eastAsia="Times New Roman" w:hAnsiTheme="minorHAnsi" w:cstheme="minorHAnsi"/>
          <w:color w:val="000000"/>
          <w:bdr w:val="none" w:sz="0" w:space="0" w:color="auto" w:frame="1"/>
          <w:lang w:eastAsia="en-CA"/>
        </w:rPr>
        <w:t>friends</w:t>
      </w:r>
      <w:proofErr w:type="gramEnd"/>
      <w:r w:rsidR="00B043CE" w:rsidRPr="00AB2735">
        <w:rPr>
          <w:rFonts w:asciiTheme="minorHAnsi" w:eastAsia="Times New Roman" w:hAnsiTheme="minorHAnsi" w:cstheme="minorHAnsi"/>
          <w:color w:val="000000"/>
          <w:bdr w:val="none" w:sz="0" w:space="0" w:color="auto" w:frame="1"/>
          <w:lang w:eastAsia="en-CA"/>
        </w:rPr>
        <w:t xml:space="preserve"> and family</w:t>
      </w:r>
      <w:r w:rsidR="007253DF" w:rsidRPr="00AB2735">
        <w:rPr>
          <w:rFonts w:asciiTheme="minorHAnsi" w:eastAsia="Times New Roman" w:hAnsiTheme="minorHAnsi" w:cstheme="minorHAnsi"/>
          <w:color w:val="000000"/>
          <w:bdr w:val="none" w:sz="0" w:space="0" w:color="auto" w:frame="1"/>
          <w:lang w:eastAsia="en-CA"/>
        </w:rPr>
        <w:t xml:space="preserve">. The students stated they felt more knowledgeable on the signs of mental distress and disorders and felt more comfortable seeking help for themselves or </w:t>
      </w:r>
      <w:r w:rsidR="007E6FAA" w:rsidRPr="00AB2735">
        <w:rPr>
          <w:rFonts w:asciiTheme="minorHAnsi" w:eastAsia="Times New Roman" w:hAnsiTheme="minorHAnsi" w:cstheme="minorHAnsi"/>
          <w:color w:val="000000"/>
          <w:bdr w:val="none" w:sz="0" w:space="0" w:color="auto" w:frame="1"/>
          <w:lang w:eastAsia="en-CA"/>
        </w:rPr>
        <w:t xml:space="preserve">a </w:t>
      </w:r>
      <w:r w:rsidR="007253DF" w:rsidRPr="00AB2735">
        <w:rPr>
          <w:rFonts w:asciiTheme="minorHAnsi" w:eastAsia="Times New Roman" w:hAnsiTheme="minorHAnsi" w:cstheme="minorHAnsi"/>
          <w:color w:val="000000"/>
          <w:bdr w:val="none" w:sz="0" w:space="0" w:color="auto" w:frame="1"/>
          <w:lang w:eastAsia="en-CA"/>
        </w:rPr>
        <w:t xml:space="preserve">classmate, as needed.  </w:t>
      </w:r>
      <w:r w:rsidR="0028697F" w:rsidRPr="00AB2735">
        <w:rPr>
          <w:rFonts w:asciiTheme="minorHAnsi" w:eastAsia="Times New Roman" w:hAnsiTheme="minorHAnsi" w:cstheme="minorHAnsi"/>
          <w:color w:val="000000"/>
          <w:bdr w:val="none" w:sz="0" w:space="0" w:color="auto" w:frame="1"/>
          <w:lang w:eastAsia="en-CA"/>
        </w:rPr>
        <w:t>One student said “Learning mental health in middle school is really important because what if we have these things and we don’t know what to do. Learning this can help a lot of kids.”</w:t>
      </w:r>
    </w:p>
    <w:p w14:paraId="2EF2351C" w14:textId="2DF2C640" w:rsidR="00725CE3" w:rsidRPr="00AB2735" w:rsidRDefault="00725CE3" w:rsidP="007253DF">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Ten students </w:t>
      </w:r>
      <w:r w:rsidR="00C343C8" w:rsidRPr="00AB2735">
        <w:rPr>
          <w:rFonts w:asciiTheme="minorHAnsi" w:eastAsia="Times New Roman" w:hAnsiTheme="minorHAnsi" w:cstheme="minorHAnsi"/>
          <w:color w:val="000000"/>
          <w:bdr w:val="none" w:sz="0" w:space="0" w:color="auto" w:frame="1"/>
          <w:lang w:eastAsia="en-CA"/>
        </w:rPr>
        <w:t>b</w:t>
      </w:r>
      <w:r w:rsidRPr="00AB2735">
        <w:rPr>
          <w:rFonts w:asciiTheme="minorHAnsi" w:eastAsia="Times New Roman" w:hAnsiTheme="minorHAnsi" w:cstheme="minorHAnsi"/>
          <w:color w:val="000000"/>
          <w:bdr w:val="none" w:sz="0" w:space="0" w:color="auto" w:frame="1"/>
          <w:lang w:eastAsia="en-CA"/>
        </w:rPr>
        <w:t>elieve</w:t>
      </w:r>
      <w:r w:rsidR="003678BC" w:rsidRPr="00AB2735">
        <w:rPr>
          <w:rFonts w:asciiTheme="minorHAnsi" w:eastAsia="Times New Roman" w:hAnsiTheme="minorHAnsi" w:cstheme="minorHAnsi"/>
          <w:color w:val="000000"/>
          <w:bdr w:val="none" w:sz="0" w:space="0" w:color="auto" w:frame="1"/>
          <w:lang w:eastAsia="en-CA"/>
        </w:rPr>
        <w:t>d</w:t>
      </w:r>
      <w:r w:rsidRPr="00AB2735">
        <w:rPr>
          <w:rFonts w:asciiTheme="minorHAnsi" w:eastAsia="Times New Roman" w:hAnsiTheme="minorHAnsi" w:cstheme="minorHAnsi"/>
          <w:color w:val="000000"/>
          <w:bdr w:val="none" w:sz="0" w:space="0" w:color="auto" w:frame="1"/>
          <w:lang w:eastAsia="en-CA"/>
        </w:rPr>
        <w:t xml:space="preserve"> that stigma reduction </w:t>
      </w:r>
      <w:r w:rsidR="003678BC" w:rsidRPr="00AB2735">
        <w:rPr>
          <w:rFonts w:asciiTheme="minorHAnsi" w:eastAsia="Times New Roman" w:hAnsiTheme="minorHAnsi" w:cstheme="minorHAnsi"/>
          <w:color w:val="000000"/>
          <w:bdr w:val="none" w:sz="0" w:space="0" w:color="auto" w:frame="1"/>
          <w:lang w:eastAsia="en-CA"/>
        </w:rPr>
        <w:t>was</w:t>
      </w:r>
      <w:r w:rsidRPr="00AB2735">
        <w:rPr>
          <w:rFonts w:asciiTheme="minorHAnsi" w:eastAsia="Times New Roman" w:hAnsiTheme="minorHAnsi" w:cstheme="minorHAnsi"/>
          <w:color w:val="000000"/>
          <w:bdr w:val="none" w:sz="0" w:space="0" w:color="auto" w:frame="1"/>
          <w:lang w:eastAsia="en-CA"/>
        </w:rPr>
        <w:t xml:space="preserve"> very important and learning this in middle school will help normalize mental illnesses and</w:t>
      </w:r>
      <w:r w:rsidR="00C343C8" w:rsidRPr="00AB2735">
        <w:rPr>
          <w:rFonts w:asciiTheme="minorHAnsi" w:eastAsia="Times New Roman" w:hAnsiTheme="minorHAnsi" w:cstheme="minorHAnsi"/>
          <w:color w:val="000000"/>
          <w:bdr w:val="none" w:sz="0" w:space="0" w:color="auto" w:frame="1"/>
          <w:lang w:eastAsia="en-CA"/>
        </w:rPr>
        <w:t xml:space="preserve"> help</w:t>
      </w:r>
      <w:r w:rsidRPr="00AB2735">
        <w:rPr>
          <w:rFonts w:asciiTheme="minorHAnsi" w:eastAsia="Times New Roman" w:hAnsiTheme="minorHAnsi" w:cstheme="minorHAnsi"/>
          <w:color w:val="000000"/>
          <w:bdr w:val="none" w:sz="0" w:space="0" w:color="auto" w:frame="1"/>
          <w:lang w:eastAsia="en-CA"/>
        </w:rPr>
        <w:t xml:space="preserve"> understand people, and their differences better. </w:t>
      </w:r>
      <w:r w:rsidR="00C343C8" w:rsidRPr="00AB2735">
        <w:rPr>
          <w:rFonts w:asciiTheme="minorHAnsi" w:eastAsia="Times New Roman" w:hAnsiTheme="minorHAnsi" w:cstheme="minorHAnsi"/>
          <w:color w:val="000000"/>
          <w:bdr w:val="none" w:sz="0" w:space="0" w:color="auto" w:frame="1"/>
          <w:lang w:eastAsia="en-CA"/>
        </w:rPr>
        <w:t xml:space="preserve">An example of this </w:t>
      </w:r>
      <w:r w:rsidR="00707AF4" w:rsidRPr="00AB2735">
        <w:rPr>
          <w:rFonts w:asciiTheme="minorHAnsi" w:eastAsia="Times New Roman" w:hAnsiTheme="minorHAnsi" w:cstheme="minorHAnsi"/>
          <w:color w:val="000000"/>
          <w:bdr w:val="none" w:sz="0" w:space="0" w:color="auto" w:frame="1"/>
          <w:lang w:eastAsia="en-CA"/>
        </w:rPr>
        <w:t xml:space="preserve">that </w:t>
      </w:r>
      <w:r w:rsidR="00C343C8" w:rsidRPr="00AB2735">
        <w:rPr>
          <w:rFonts w:asciiTheme="minorHAnsi" w:eastAsia="Times New Roman" w:hAnsiTheme="minorHAnsi" w:cstheme="minorHAnsi"/>
          <w:color w:val="000000"/>
          <w:bdr w:val="none" w:sz="0" w:space="0" w:color="auto" w:frame="1"/>
          <w:lang w:eastAsia="en-CA"/>
        </w:rPr>
        <w:t xml:space="preserve">a student gave: “Yes, I think learning about mental </w:t>
      </w:r>
      <w:r w:rsidR="00C343C8" w:rsidRPr="00AB2735">
        <w:rPr>
          <w:rFonts w:asciiTheme="minorHAnsi" w:eastAsia="Times New Roman" w:hAnsiTheme="minorHAnsi" w:cstheme="minorHAnsi"/>
          <w:color w:val="000000"/>
          <w:bdr w:val="none" w:sz="0" w:space="0" w:color="auto" w:frame="1"/>
          <w:lang w:eastAsia="en-CA"/>
        </w:rPr>
        <w:lastRenderedPageBreak/>
        <w:t>health is important because you don’t want to treat someone with a mental health disorder differently than everyone else</w:t>
      </w:r>
      <w:r w:rsidR="001B095B" w:rsidRPr="00AB2735">
        <w:rPr>
          <w:rFonts w:asciiTheme="minorHAnsi" w:eastAsia="Times New Roman" w:hAnsiTheme="minorHAnsi" w:cstheme="minorHAnsi"/>
          <w:color w:val="000000"/>
          <w:bdr w:val="none" w:sz="0" w:space="0" w:color="auto" w:frame="1"/>
          <w:lang w:eastAsia="en-CA"/>
        </w:rPr>
        <w:t>.</w:t>
      </w:r>
      <w:r w:rsidR="00707AF4" w:rsidRPr="00AB2735">
        <w:rPr>
          <w:rFonts w:asciiTheme="minorHAnsi" w:eastAsia="Times New Roman" w:hAnsiTheme="minorHAnsi" w:cstheme="minorHAnsi"/>
          <w:color w:val="000000"/>
          <w:bdr w:val="none" w:sz="0" w:space="0" w:color="auto" w:frame="1"/>
          <w:lang w:eastAsia="en-CA"/>
        </w:rPr>
        <w:t>”</w:t>
      </w:r>
    </w:p>
    <w:p w14:paraId="37EA78C9" w14:textId="6D95F6A0" w:rsidR="00C343C8" w:rsidRPr="00AB2735" w:rsidRDefault="00C343C8" w:rsidP="007253DF">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Eight students felt that they will benefit from knowing this information in the future as </w:t>
      </w:r>
      <w:r w:rsidR="00707AF4" w:rsidRPr="00AB2735">
        <w:rPr>
          <w:rFonts w:asciiTheme="minorHAnsi" w:eastAsia="Times New Roman" w:hAnsiTheme="minorHAnsi" w:cstheme="minorHAnsi"/>
          <w:color w:val="000000"/>
          <w:bdr w:val="none" w:sz="0" w:space="0" w:color="auto" w:frame="1"/>
          <w:lang w:eastAsia="en-CA"/>
        </w:rPr>
        <w:t>they</w:t>
      </w:r>
      <w:r w:rsidRPr="00AB2735">
        <w:rPr>
          <w:rFonts w:asciiTheme="minorHAnsi" w:eastAsia="Times New Roman" w:hAnsiTheme="minorHAnsi" w:cstheme="minorHAnsi"/>
          <w:color w:val="000000"/>
          <w:bdr w:val="none" w:sz="0" w:space="0" w:color="auto" w:frame="1"/>
          <w:lang w:eastAsia="en-CA"/>
        </w:rPr>
        <w:t xml:space="preserve"> may </w:t>
      </w:r>
      <w:r w:rsidR="00707AF4" w:rsidRPr="00AB2735">
        <w:rPr>
          <w:rFonts w:asciiTheme="minorHAnsi" w:eastAsia="Times New Roman" w:hAnsiTheme="minorHAnsi" w:cstheme="minorHAnsi"/>
          <w:color w:val="000000"/>
          <w:bdr w:val="none" w:sz="0" w:space="0" w:color="auto" w:frame="1"/>
          <w:lang w:eastAsia="en-CA"/>
        </w:rPr>
        <w:t xml:space="preserve">deal with people in their lives who have </w:t>
      </w:r>
      <w:r w:rsidRPr="00AB2735">
        <w:rPr>
          <w:rFonts w:asciiTheme="minorHAnsi" w:eastAsia="Times New Roman" w:hAnsiTheme="minorHAnsi" w:cstheme="minorHAnsi"/>
          <w:color w:val="000000"/>
          <w:bdr w:val="none" w:sz="0" w:space="0" w:color="auto" w:frame="1"/>
          <w:lang w:eastAsia="en-CA"/>
        </w:rPr>
        <w:t xml:space="preserve">mental </w:t>
      </w:r>
      <w:proofErr w:type="gramStart"/>
      <w:r w:rsidRPr="00AB2735">
        <w:rPr>
          <w:rFonts w:asciiTheme="minorHAnsi" w:eastAsia="Times New Roman" w:hAnsiTheme="minorHAnsi" w:cstheme="minorHAnsi"/>
          <w:color w:val="000000"/>
          <w:bdr w:val="none" w:sz="0" w:space="0" w:color="auto" w:frame="1"/>
          <w:lang w:eastAsia="en-CA"/>
        </w:rPr>
        <w:t>illnesses</w:t>
      </w:r>
      <w:proofErr w:type="gramEnd"/>
      <w:r w:rsidRPr="00AB2735">
        <w:rPr>
          <w:rFonts w:asciiTheme="minorHAnsi" w:eastAsia="Times New Roman" w:hAnsiTheme="minorHAnsi" w:cstheme="minorHAnsi"/>
          <w:color w:val="000000"/>
          <w:bdr w:val="none" w:sz="0" w:space="0" w:color="auto" w:frame="1"/>
          <w:lang w:eastAsia="en-CA"/>
        </w:rPr>
        <w:t xml:space="preserve"> and the students feel like they could help them</w:t>
      </w:r>
      <w:r w:rsidR="00707AF4" w:rsidRPr="00AB2735">
        <w:rPr>
          <w:rFonts w:asciiTheme="minorHAnsi" w:eastAsia="Times New Roman" w:hAnsiTheme="minorHAnsi" w:cstheme="minorHAnsi"/>
          <w:color w:val="000000"/>
          <w:bdr w:val="none" w:sz="0" w:space="0" w:color="auto" w:frame="1"/>
          <w:lang w:eastAsia="en-CA"/>
        </w:rPr>
        <w:t>. Or they themselves may develop a mental illness as they grow up and they will be equipped on how to deal with it in their own lives. A</w:t>
      </w:r>
      <w:r w:rsidRPr="00AB2735">
        <w:rPr>
          <w:rFonts w:asciiTheme="minorHAnsi" w:eastAsia="Times New Roman" w:hAnsiTheme="minorHAnsi" w:cstheme="minorHAnsi"/>
          <w:color w:val="000000"/>
          <w:bdr w:val="none" w:sz="0" w:space="0" w:color="auto" w:frame="1"/>
          <w:lang w:eastAsia="en-CA"/>
        </w:rPr>
        <w:t xml:space="preserve"> </w:t>
      </w:r>
      <w:r w:rsidR="00707AF4" w:rsidRPr="00AB2735">
        <w:rPr>
          <w:rFonts w:asciiTheme="minorHAnsi" w:eastAsia="Times New Roman" w:hAnsiTheme="minorHAnsi" w:cstheme="minorHAnsi"/>
          <w:color w:val="000000"/>
          <w:bdr w:val="none" w:sz="0" w:space="0" w:color="auto" w:frame="1"/>
          <w:lang w:eastAsia="en-CA"/>
        </w:rPr>
        <w:t>student stated that they think it is important to gain this knowledge because “it will help avoid injury and deaths of teenagers so they will get a better future with no harms and big troubles in their own life</w:t>
      </w:r>
      <w:r w:rsidR="001B095B" w:rsidRPr="00AB2735">
        <w:rPr>
          <w:rFonts w:asciiTheme="minorHAnsi" w:eastAsia="Times New Roman" w:hAnsiTheme="minorHAnsi" w:cstheme="minorHAnsi"/>
          <w:color w:val="000000"/>
          <w:bdr w:val="none" w:sz="0" w:space="0" w:color="auto" w:frame="1"/>
          <w:lang w:eastAsia="en-CA"/>
        </w:rPr>
        <w:t>.</w:t>
      </w:r>
      <w:r w:rsidR="00707AF4" w:rsidRPr="00AB2735">
        <w:rPr>
          <w:rFonts w:asciiTheme="minorHAnsi" w:eastAsia="Times New Roman" w:hAnsiTheme="minorHAnsi" w:cstheme="minorHAnsi"/>
          <w:color w:val="000000"/>
          <w:bdr w:val="none" w:sz="0" w:space="0" w:color="auto" w:frame="1"/>
          <w:lang w:eastAsia="en-CA"/>
        </w:rPr>
        <w:t>”</w:t>
      </w:r>
    </w:p>
    <w:p w14:paraId="6B637B94" w14:textId="1C3B3E59" w:rsidR="00707AF4" w:rsidRPr="00AB2735" w:rsidRDefault="00725CE3" w:rsidP="007253DF">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Four students </w:t>
      </w:r>
      <w:r w:rsidR="00155BFC" w:rsidRPr="00AB2735">
        <w:rPr>
          <w:rFonts w:asciiTheme="minorHAnsi" w:eastAsia="Times New Roman" w:hAnsiTheme="minorHAnsi" w:cstheme="minorHAnsi"/>
          <w:color w:val="000000"/>
          <w:bdr w:val="none" w:sz="0" w:space="0" w:color="auto" w:frame="1"/>
          <w:lang w:eastAsia="en-CA"/>
        </w:rPr>
        <w:t xml:space="preserve">felt that learning at a younger age is easier and, therefore, you can learn more information more efficiently. One student will take this information with them for the rest of their lives to be used in </w:t>
      </w:r>
      <w:r w:rsidR="009E5BD2" w:rsidRPr="00AB2735">
        <w:rPr>
          <w:rFonts w:asciiTheme="minorHAnsi" w:eastAsia="Times New Roman" w:hAnsiTheme="minorHAnsi" w:cstheme="minorHAnsi"/>
          <w:color w:val="000000"/>
          <w:bdr w:val="none" w:sz="0" w:space="0" w:color="auto" w:frame="1"/>
          <w:lang w:eastAsia="en-CA"/>
        </w:rPr>
        <w:t>pertinent situations</w:t>
      </w:r>
      <w:r w:rsidR="00155BFC" w:rsidRPr="00AB2735">
        <w:rPr>
          <w:rFonts w:asciiTheme="minorHAnsi" w:eastAsia="Times New Roman" w:hAnsiTheme="minorHAnsi" w:cstheme="minorHAnsi"/>
          <w:color w:val="000000"/>
          <w:bdr w:val="none" w:sz="0" w:space="0" w:color="auto" w:frame="1"/>
          <w:lang w:eastAsia="en-CA"/>
        </w:rPr>
        <w:t>, “Yes I think that learning about mental Health in middle school is important because It’s easier to learn things from the ages 11 and 12. So learning about this can help us prepare for when we get older and can help us in stressful situations.</w:t>
      </w:r>
      <w:r w:rsidR="001B095B" w:rsidRPr="00AB2735">
        <w:rPr>
          <w:rFonts w:asciiTheme="minorHAnsi" w:eastAsia="Times New Roman" w:hAnsiTheme="minorHAnsi" w:cstheme="minorHAnsi"/>
          <w:color w:val="000000"/>
          <w:bdr w:val="none" w:sz="0" w:space="0" w:color="auto" w:frame="1"/>
          <w:lang w:eastAsia="en-CA"/>
        </w:rPr>
        <w:t>”</w:t>
      </w:r>
      <w:r w:rsidR="009E5BD2" w:rsidRPr="00AB2735">
        <w:rPr>
          <w:rFonts w:asciiTheme="minorHAnsi" w:eastAsia="Times New Roman" w:hAnsiTheme="minorHAnsi" w:cstheme="minorHAnsi"/>
          <w:color w:val="000000"/>
          <w:bdr w:val="none" w:sz="0" w:space="0" w:color="auto" w:frame="1"/>
          <w:lang w:eastAsia="en-CA"/>
        </w:rPr>
        <w:t xml:space="preserve"> Students find this information beneficial to learn in middle school, while they are younger, so they can be better equipped with the tools and resources needed to reduce stigma and to help themselves and others as needed in the future.</w:t>
      </w:r>
    </w:p>
    <w:p w14:paraId="222075A4" w14:textId="55AC6096" w:rsidR="009E5BD2" w:rsidRPr="00AB2735" w:rsidRDefault="009E5BD2" w:rsidP="007253DF">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Two students liked the idea of learning about the science of the developing teenage brain. Students exposed to The Guide resource learn about the “normal” development of the brain and </w:t>
      </w:r>
      <w:proofErr w:type="spellStart"/>
      <w:r w:rsidRPr="00AB2735">
        <w:rPr>
          <w:rFonts w:asciiTheme="minorHAnsi" w:eastAsia="Times New Roman" w:hAnsiTheme="minorHAnsi" w:cstheme="minorHAnsi"/>
          <w:color w:val="000000"/>
          <w:bdr w:val="none" w:sz="0" w:space="0" w:color="auto" w:frame="1"/>
          <w:lang w:eastAsia="en-CA"/>
        </w:rPr>
        <w:t>behaviour</w:t>
      </w:r>
      <w:proofErr w:type="spellEnd"/>
      <w:r w:rsidRPr="00AB2735">
        <w:rPr>
          <w:rFonts w:asciiTheme="minorHAnsi" w:eastAsia="Times New Roman" w:hAnsiTheme="minorHAnsi" w:cstheme="minorHAnsi"/>
          <w:color w:val="000000"/>
          <w:bdr w:val="none" w:sz="0" w:space="0" w:color="auto" w:frame="1"/>
          <w:lang w:eastAsia="en-CA"/>
        </w:rPr>
        <w:t xml:space="preserve"> of a middle schooler, and therefore, any specific neurological abnormalities that students may be currently dealing with or soon will deal with</w:t>
      </w:r>
      <w:r w:rsidR="001B095B" w:rsidRPr="00AB2735">
        <w:rPr>
          <w:rFonts w:asciiTheme="minorHAnsi" w:eastAsia="Times New Roman" w:hAnsiTheme="minorHAnsi" w:cstheme="minorHAnsi"/>
          <w:color w:val="000000"/>
          <w:bdr w:val="none" w:sz="0" w:space="0" w:color="auto" w:frame="1"/>
          <w:lang w:eastAsia="en-CA"/>
        </w:rPr>
        <w:t xml:space="preserve">. </w:t>
      </w:r>
      <w:r w:rsidR="00E63D5D" w:rsidRPr="00AB2735">
        <w:rPr>
          <w:rFonts w:asciiTheme="minorHAnsi" w:eastAsia="Times New Roman" w:hAnsiTheme="minorHAnsi" w:cstheme="minorHAnsi"/>
          <w:color w:val="000000"/>
          <w:bdr w:val="none" w:sz="0" w:space="0" w:color="auto" w:frame="1"/>
          <w:lang w:eastAsia="en-CA"/>
        </w:rPr>
        <w:t>O</w:t>
      </w:r>
      <w:r w:rsidR="001B095B" w:rsidRPr="00AB2735">
        <w:rPr>
          <w:rFonts w:asciiTheme="minorHAnsi" w:eastAsia="Times New Roman" w:hAnsiTheme="minorHAnsi" w:cstheme="minorHAnsi"/>
          <w:color w:val="000000"/>
          <w:bdr w:val="none" w:sz="0" w:space="0" w:color="auto" w:frame="1"/>
          <w:lang w:eastAsia="en-CA"/>
        </w:rPr>
        <w:t>ne student said, “Yes, I do think it is important because the teen brain is still developing. It's good to know that there is help that you can get (treatment) and it’s good to know the information.”</w:t>
      </w:r>
      <w:r w:rsidR="008B638D" w:rsidRPr="00AB2735">
        <w:rPr>
          <w:rFonts w:asciiTheme="minorHAnsi" w:eastAsia="Times New Roman" w:hAnsiTheme="minorHAnsi" w:cstheme="minorHAnsi"/>
          <w:color w:val="000000"/>
          <w:bdr w:val="none" w:sz="0" w:space="0" w:color="auto" w:frame="1"/>
          <w:lang w:eastAsia="en-CA"/>
        </w:rPr>
        <w:t xml:space="preserve"> Learning about the developing teenage brain is also good at this age so that students will know what is </w:t>
      </w:r>
      <w:proofErr w:type="gramStart"/>
      <w:r w:rsidR="008B638D" w:rsidRPr="00AB2735">
        <w:rPr>
          <w:rFonts w:asciiTheme="minorHAnsi" w:eastAsia="Times New Roman" w:hAnsiTheme="minorHAnsi" w:cstheme="minorHAnsi"/>
          <w:color w:val="000000"/>
          <w:bdr w:val="none" w:sz="0" w:space="0" w:color="auto" w:frame="1"/>
          <w:lang w:eastAsia="en-CA"/>
        </w:rPr>
        <w:t>actually normal</w:t>
      </w:r>
      <w:proofErr w:type="gramEnd"/>
      <w:r w:rsidR="008B638D" w:rsidRPr="00AB2735">
        <w:rPr>
          <w:rFonts w:asciiTheme="minorHAnsi" w:eastAsia="Times New Roman" w:hAnsiTheme="minorHAnsi" w:cstheme="minorHAnsi"/>
          <w:color w:val="000000"/>
          <w:bdr w:val="none" w:sz="0" w:space="0" w:color="auto" w:frame="1"/>
          <w:lang w:eastAsia="en-CA"/>
        </w:rPr>
        <w:t xml:space="preserve"> for most people their age, even if it seems distressing to them at the time.</w:t>
      </w:r>
    </w:p>
    <w:p w14:paraId="3C0F6D95" w14:textId="6FD4F0C2" w:rsidR="001B095B" w:rsidRPr="00AB2735" w:rsidRDefault="00D67362" w:rsidP="007253DF">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One student discussed all components of mental health literacy and has a </w:t>
      </w:r>
      <w:proofErr w:type="gramStart"/>
      <w:r w:rsidRPr="00AB2735">
        <w:rPr>
          <w:rFonts w:asciiTheme="minorHAnsi" w:eastAsia="Times New Roman" w:hAnsiTheme="minorHAnsi" w:cstheme="minorHAnsi"/>
          <w:color w:val="000000"/>
          <w:bdr w:val="none" w:sz="0" w:space="0" w:color="auto" w:frame="1"/>
          <w:lang w:eastAsia="en-CA"/>
        </w:rPr>
        <w:t>really good</w:t>
      </w:r>
      <w:proofErr w:type="gramEnd"/>
      <w:r w:rsidRPr="00AB2735">
        <w:rPr>
          <w:rFonts w:asciiTheme="minorHAnsi" w:eastAsia="Times New Roman" w:hAnsiTheme="minorHAnsi" w:cstheme="minorHAnsi"/>
          <w:color w:val="000000"/>
          <w:bdr w:val="none" w:sz="0" w:space="0" w:color="auto" w:frame="1"/>
          <w:lang w:eastAsia="en-CA"/>
        </w:rPr>
        <w:t xml:space="preserve"> understanding of the importance of a well-rounded mental health literacy resource. </w:t>
      </w:r>
      <w:r w:rsidR="001B095B" w:rsidRPr="00AB2735">
        <w:rPr>
          <w:rFonts w:asciiTheme="minorHAnsi" w:eastAsia="Times New Roman" w:hAnsiTheme="minorHAnsi" w:cstheme="minorHAnsi"/>
          <w:color w:val="000000"/>
          <w:bdr w:val="none" w:sz="0" w:space="0" w:color="auto" w:frame="1"/>
          <w:lang w:eastAsia="en-CA"/>
        </w:rPr>
        <w:t xml:space="preserve"> </w:t>
      </w:r>
      <w:r w:rsidRPr="00AB2735">
        <w:rPr>
          <w:rFonts w:asciiTheme="minorHAnsi" w:eastAsia="Times New Roman" w:hAnsiTheme="minorHAnsi" w:cstheme="minorHAnsi"/>
          <w:color w:val="000000"/>
          <w:bdr w:val="none" w:sz="0" w:space="0" w:color="auto" w:frame="1"/>
          <w:lang w:eastAsia="en-CA"/>
        </w:rPr>
        <w:t xml:space="preserve">The </w:t>
      </w:r>
      <w:r w:rsidR="001B095B" w:rsidRPr="00AB2735">
        <w:rPr>
          <w:rFonts w:asciiTheme="minorHAnsi" w:eastAsia="Times New Roman" w:hAnsiTheme="minorHAnsi" w:cstheme="minorHAnsi"/>
          <w:color w:val="000000"/>
          <w:bdr w:val="none" w:sz="0" w:space="0" w:color="auto" w:frame="1"/>
          <w:lang w:eastAsia="en-CA"/>
        </w:rPr>
        <w:t>student stat</w:t>
      </w:r>
      <w:r w:rsidRPr="00AB2735">
        <w:rPr>
          <w:rFonts w:asciiTheme="minorHAnsi" w:eastAsia="Times New Roman" w:hAnsiTheme="minorHAnsi" w:cstheme="minorHAnsi"/>
          <w:color w:val="000000"/>
          <w:bdr w:val="none" w:sz="0" w:space="0" w:color="auto" w:frame="1"/>
          <w:lang w:eastAsia="en-CA"/>
        </w:rPr>
        <w:t>ed</w:t>
      </w:r>
      <w:r w:rsidR="001B095B" w:rsidRPr="00AB2735">
        <w:rPr>
          <w:rFonts w:asciiTheme="minorHAnsi" w:eastAsia="Times New Roman" w:hAnsiTheme="minorHAnsi" w:cstheme="minorHAnsi"/>
          <w:color w:val="000000"/>
          <w:bdr w:val="none" w:sz="0" w:space="0" w:color="auto" w:frame="1"/>
          <w:lang w:eastAsia="en-CA"/>
        </w:rPr>
        <w:t xml:space="preserve">, “I think learning about mental health in middle school is important because I hear a lot of people in my school say, “I’m so depressed,” when they are really not. And some kids these days feel lonely like they have no one to talk to, so informing kids about mental </w:t>
      </w:r>
      <w:r w:rsidR="001B095B" w:rsidRPr="00AB2735">
        <w:rPr>
          <w:rFonts w:asciiTheme="minorHAnsi" w:eastAsia="Times New Roman" w:hAnsiTheme="minorHAnsi" w:cstheme="minorHAnsi"/>
          <w:color w:val="000000"/>
          <w:bdr w:val="none" w:sz="0" w:space="0" w:color="auto" w:frame="1"/>
          <w:lang w:eastAsia="en-CA"/>
        </w:rPr>
        <w:lastRenderedPageBreak/>
        <w:t xml:space="preserve">health at a young age is good. Seeing as there is a lot of stigma on the topic it also helps to talk about stigma so that those youth with a mental illness don’t feel excluded”. This might indicate that </w:t>
      </w:r>
      <w:r w:rsidR="00845ABD" w:rsidRPr="00AB2735">
        <w:rPr>
          <w:rFonts w:asciiTheme="minorHAnsi" w:eastAsia="Times New Roman" w:hAnsiTheme="minorHAnsi" w:cstheme="minorHAnsi"/>
          <w:color w:val="000000"/>
          <w:bdr w:val="none" w:sz="0" w:space="0" w:color="auto" w:frame="1"/>
          <w:lang w:eastAsia="en-CA"/>
        </w:rPr>
        <w:t xml:space="preserve">The Guide </w:t>
      </w:r>
      <w:r w:rsidR="001B095B" w:rsidRPr="00AB2735">
        <w:rPr>
          <w:rFonts w:asciiTheme="minorHAnsi" w:eastAsia="Times New Roman" w:hAnsiTheme="minorHAnsi" w:cstheme="minorHAnsi"/>
          <w:color w:val="000000"/>
          <w:bdr w:val="none" w:sz="0" w:space="0" w:color="auto" w:frame="1"/>
          <w:lang w:eastAsia="en-CA"/>
        </w:rPr>
        <w:t xml:space="preserve">resource can be successful in helping </w:t>
      </w:r>
      <w:r w:rsidR="00E63D5D" w:rsidRPr="00AB2735">
        <w:rPr>
          <w:rFonts w:asciiTheme="minorHAnsi" w:eastAsia="Times New Roman" w:hAnsiTheme="minorHAnsi" w:cstheme="minorHAnsi"/>
          <w:color w:val="000000"/>
          <w:bdr w:val="none" w:sz="0" w:space="0" w:color="auto" w:frame="1"/>
          <w:lang w:eastAsia="en-CA"/>
        </w:rPr>
        <w:t>grade</w:t>
      </w:r>
      <w:r w:rsidR="00845ABD" w:rsidRPr="00AB2735">
        <w:rPr>
          <w:rFonts w:asciiTheme="minorHAnsi" w:eastAsia="Times New Roman" w:hAnsiTheme="minorHAnsi" w:cstheme="minorHAnsi"/>
          <w:color w:val="000000"/>
          <w:bdr w:val="none" w:sz="0" w:space="0" w:color="auto" w:frame="1"/>
          <w:lang w:eastAsia="en-CA"/>
        </w:rPr>
        <w:t xml:space="preserve"> seven and</w:t>
      </w:r>
      <w:r w:rsidR="00E63D5D" w:rsidRPr="00AB2735">
        <w:rPr>
          <w:rFonts w:asciiTheme="minorHAnsi" w:eastAsia="Times New Roman" w:hAnsiTheme="minorHAnsi" w:cstheme="minorHAnsi"/>
          <w:color w:val="000000"/>
          <w:bdr w:val="none" w:sz="0" w:space="0" w:color="auto" w:frame="1"/>
          <w:lang w:eastAsia="en-CA"/>
        </w:rPr>
        <w:t xml:space="preserve"> eight students</w:t>
      </w:r>
      <w:r w:rsidR="0099450D" w:rsidRPr="00AB2735">
        <w:rPr>
          <w:rFonts w:asciiTheme="minorHAnsi" w:eastAsia="Times New Roman" w:hAnsiTheme="minorHAnsi" w:cstheme="minorHAnsi"/>
          <w:color w:val="000000"/>
          <w:bdr w:val="none" w:sz="0" w:space="0" w:color="auto" w:frame="1"/>
          <w:lang w:eastAsia="en-CA"/>
        </w:rPr>
        <w:t xml:space="preserve"> </w:t>
      </w:r>
      <w:proofErr w:type="gramStart"/>
      <w:r w:rsidR="0099450D" w:rsidRPr="00AB2735">
        <w:rPr>
          <w:rFonts w:asciiTheme="minorHAnsi" w:eastAsia="Times New Roman" w:hAnsiTheme="minorHAnsi" w:cstheme="minorHAnsi"/>
          <w:color w:val="000000"/>
          <w:bdr w:val="none" w:sz="0" w:space="0" w:color="auto" w:frame="1"/>
          <w:lang w:eastAsia="en-CA"/>
        </w:rPr>
        <w:t>hone in on</w:t>
      </w:r>
      <w:proofErr w:type="gramEnd"/>
      <w:r w:rsidR="0099450D" w:rsidRPr="00AB2735">
        <w:rPr>
          <w:rFonts w:asciiTheme="minorHAnsi" w:eastAsia="Times New Roman" w:hAnsiTheme="minorHAnsi" w:cstheme="minorHAnsi"/>
          <w:color w:val="000000"/>
          <w:bdr w:val="none" w:sz="0" w:space="0" w:color="auto" w:frame="1"/>
          <w:lang w:eastAsia="en-CA"/>
        </w:rPr>
        <w:t xml:space="preserve"> what these topics really mean to them individually, since the outcomes will vary between each student.</w:t>
      </w:r>
    </w:p>
    <w:p w14:paraId="16398B88" w14:textId="6E1AC4C2" w:rsidR="00B412AF" w:rsidRPr="00AB2735" w:rsidRDefault="00A964C2" w:rsidP="001B2B30">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The second question </w:t>
      </w:r>
      <w:r w:rsidR="00B412AF" w:rsidRPr="00AB2735">
        <w:rPr>
          <w:rFonts w:asciiTheme="minorHAnsi" w:eastAsia="Times New Roman" w:hAnsiTheme="minorHAnsi" w:cstheme="minorHAnsi"/>
          <w:color w:val="000000"/>
          <w:bdr w:val="none" w:sz="0" w:space="0" w:color="auto" w:frame="1"/>
          <w:lang w:eastAsia="en-CA"/>
        </w:rPr>
        <w:t xml:space="preserve">included in this survey </w:t>
      </w:r>
      <w:r w:rsidRPr="00AB2735">
        <w:rPr>
          <w:rFonts w:asciiTheme="minorHAnsi" w:eastAsia="Times New Roman" w:hAnsiTheme="minorHAnsi" w:cstheme="minorHAnsi"/>
          <w:color w:val="000000"/>
          <w:bdr w:val="none" w:sz="0" w:space="0" w:color="auto" w:frame="1"/>
          <w:lang w:eastAsia="en-CA"/>
        </w:rPr>
        <w:t>was “What part of the mental health curriculum did you find most interesting/ important to learn about? Please explain.”</w:t>
      </w:r>
      <w:r w:rsidR="00D81F95" w:rsidRPr="00AB2735">
        <w:rPr>
          <w:rFonts w:asciiTheme="minorHAnsi" w:eastAsia="Times New Roman" w:hAnsiTheme="minorHAnsi" w:cstheme="minorHAnsi"/>
          <w:color w:val="000000"/>
          <w:bdr w:val="none" w:sz="0" w:space="0" w:color="auto" w:frame="1"/>
          <w:lang w:eastAsia="en-CA"/>
        </w:rPr>
        <w:t xml:space="preserve"> </w:t>
      </w:r>
      <w:proofErr w:type="gramStart"/>
      <w:r w:rsidR="008B638D" w:rsidRPr="00AB2735">
        <w:rPr>
          <w:rFonts w:asciiTheme="minorHAnsi" w:eastAsia="Times New Roman" w:hAnsiTheme="minorHAnsi" w:cstheme="minorHAnsi"/>
          <w:color w:val="000000"/>
          <w:bdr w:val="none" w:sz="0" w:space="0" w:color="auto" w:frame="1"/>
          <w:lang w:eastAsia="en-CA"/>
        </w:rPr>
        <w:t>Similar to</w:t>
      </w:r>
      <w:proofErr w:type="gramEnd"/>
      <w:r w:rsidR="008B638D" w:rsidRPr="00AB2735">
        <w:rPr>
          <w:rFonts w:asciiTheme="minorHAnsi" w:eastAsia="Times New Roman" w:hAnsiTheme="minorHAnsi" w:cstheme="minorHAnsi"/>
          <w:color w:val="000000"/>
          <w:bdr w:val="none" w:sz="0" w:space="0" w:color="auto" w:frame="1"/>
          <w:lang w:eastAsia="en-CA"/>
        </w:rPr>
        <w:t xml:space="preserve"> question one, t</w:t>
      </w:r>
      <w:r w:rsidR="00B412AF" w:rsidRPr="00AB2735">
        <w:rPr>
          <w:rFonts w:asciiTheme="minorHAnsi" w:eastAsia="Times New Roman" w:hAnsiTheme="minorHAnsi" w:cstheme="minorHAnsi"/>
          <w:color w:val="000000"/>
          <w:bdr w:val="none" w:sz="0" w:space="0" w:color="auto" w:frame="1"/>
          <w:lang w:eastAsia="en-CA"/>
        </w:rPr>
        <w:t xml:space="preserve">he results from this question were combined into </w:t>
      </w:r>
      <w:r w:rsidR="00F106A8" w:rsidRPr="00AB2735">
        <w:rPr>
          <w:rFonts w:asciiTheme="minorHAnsi" w:eastAsia="Times New Roman" w:hAnsiTheme="minorHAnsi" w:cstheme="minorHAnsi"/>
          <w:color w:val="000000"/>
          <w:bdr w:val="none" w:sz="0" w:space="0" w:color="auto" w:frame="1"/>
          <w:lang w:eastAsia="en-CA"/>
        </w:rPr>
        <w:t>five</w:t>
      </w:r>
      <w:r w:rsidR="00B412AF" w:rsidRPr="00AB2735">
        <w:rPr>
          <w:rFonts w:asciiTheme="minorHAnsi" w:eastAsia="Times New Roman" w:hAnsiTheme="minorHAnsi" w:cstheme="minorHAnsi"/>
          <w:color w:val="000000"/>
          <w:bdr w:val="none" w:sz="0" w:space="0" w:color="auto" w:frame="1"/>
          <w:lang w:eastAsia="en-CA"/>
        </w:rPr>
        <w:t xml:space="preserve"> categories</w:t>
      </w:r>
      <w:r w:rsidR="0074468E" w:rsidRPr="00AB2735">
        <w:rPr>
          <w:rFonts w:asciiTheme="minorHAnsi" w:eastAsia="Times New Roman" w:hAnsiTheme="minorHAnsi" w:cstheme="minorHAnsi"/>
          <w:color w:val="000000"/>
          <w:bdr w:val="none" w:sz="0" w:space="0" w:color="auto" w:frame="1"/>
          <w:lang w:eastAsia="en-CA"/>
        </w:rPr>
        <w:t xml:space="preserve"> on</w:t>
      </w:r>
      <w:r w:rsidR="007E6FAA" w:rsidRPr="00AB2735">
        <w:rPr>
          <w:rFonts w:asciiTheme="minorHAnsi" w:eastAsia="Times New Roman" w:hAnsiTheme="minorHAnsi" w:cstheme="minorHAnsi"/>
          <w:color w:val="000000"/>
          <w:bdr w:val="none" w:sz="0" w:space="0" w:color="auto" w:frame="1"/>
          <w:lang w:eastAsia="en-CA"/>
        </w:rPr>
        <w:t>: specific disorders, getting help, brain science, stigma</w:t>
      </w:r>
      <w:r w:rsidR="00F106A8" w:rsidRPr="00AB2735">
        <w:rPr>
          <w:rFonts w:asciiTheme="minorHAnsi" w:eastAsia="Times New Roman" w:hAnsiTheme="minorHAnsi" w:cstheme="minorHAnsi"/>
          <w:color w:val="000000"/>
          <w:bdr w:val="none" w:sz="0" w:space="0" w:color="auto" w:frame="1"/>
          <w:lang w:eastAsia="en-CA"/>
        </w:rPr>
        <w:t xml:space="preserve"> (especially with</w:t>
      </w:r>
      <w:r w:rsidR="00C3564F" w:rsidRPr="00AB2735">
        <w:rPr>
          <w:rFonts w:asciiTheme="minorHAnsi" w:eastAsia="Times New Roman" w:hAnsiTheme="minorHAnsi" w:cstheme="minorHAnsi"/>
          <w:color w:val="000000"/>
          <w:bdr w:val="none" w:sz="0" w:space="0" w:color="auto" w:frame="1"/>
          <w:lang w:eastAsia="en-CA"/>
        </w:rPr>
        <w:t xml:space="preserve"> </w:t>
      </w:r>
      <w:r w:rsidR="007E6FAA" w:rsidRPr="00AB2735">
        <w:rPr>
          <w:rFonts w:asciiTheme="minorHAnsi" w:eastAsia="Times New Roman" w:hAnsiTheme="minorHAnsi" w:cstheme="minorHAnsi"/>
          <w:color w:val="000000"/>
          <w:bdr w:val="none" w:sz="0" w:space="0" w:color="auto" w:frame="1"/>
          <w:lang w:eastAsia="en-CA"/>
        </w:rPr>
        <w:t>personal stories</w:t>
      </w:r>
      <w:r w:rsidR="00F106A8" w:rsidRPr="00AB2735">
        <w:rPr>
          <w:rFonts w:asciiTheme="minorHAnsi" w:eastAsia="Times New Roman" w:hAnsiTheme="minorHAnsi" w:cstheme="minorHAnsi"/>
          <w:color w:val="000000"/>
          <w:bdr w:val="none" w:sz="0" w:space="0" w:color="auto" w:frame="1"/>
          <w:lang w:eastAsia="en-CA"/>
        </w:rPr>
        <w:t>)</w:t>
      </w:r>
      <w:r w:rsidR="007E6FAA" w:rsidRPr="00AB2735">
        <w:rPr>
          <w:rFonts w:asciiTheme="minorHAnsi" w:eastAsia="Times New Roman" w:hAnsiTheme="minorHAnsi" w:cstheme="minorHAnsi"/>
          <w:color w:val="000000"/>
          <w:bdr w:val="none" w:sz="0" w:space="0" w:color="auto" w:frame="1"/>
          <w:lang w:eastAsia="en-CA"/>
        </w:rPr>
        <w:t>, and mental health literacy.</w:t>
      </w:r>
    </w:p>
    <w:p w14:paraId="1AD82827" w14:textId="5E9E6A11" w:rsidR="00B412AF" w:rsidRPr="00AB2735" w:rsidRDefault="00B412AF" w:rsidP="001B2B30">
      <w:pPr>
        <w:autoSpaceDE w:val="0"/>
        <w:autoSpaceDN w:val="0"/>
        <w:adjustRightInd w:val="0"/>
        <w:spacing w:line="360" w:lineRule="auto"/>
        <w:ind w:firstLine="720"/>
        <w:rPr>
          <w:rFonts w:asciiTheme="minorHAnsi" w:hAnsiTheme="minorHAnsi" w:cstheme="minorHAnsi"/>
          <w:lang w:val="en-CA"/>
        </w:rPr>
      </w:pPr>
      <w:r w:rsidRPr="00AB2735">
        <w:rPr>
          <w:rFonts w:asciiTheme="minorHAnsi" w:eastAsia="Times New Roman" w:hAnsiTheme="minorHAnsi" w:cstheme="minorHAnsi"/>
          <w:color w:val="000000"/>
          <w:bdr w:val="none" w:sz="0" w:space="0" w:color="auto" w:frame="1"/>
          <w:lang w:eastAsia="en-CA"/>
        </w:rPr>
        <w:t>The biggest res</w:t>
      </w:r>
      <w:r w:rsidR="007E6FAA" w:rsidRPr="00AB2735">
        <w:rPr>
          <w:rFonts w:asciiTheme="minorHAnsi" w:eastAsia="Times New Roman" w:hAnsiTheme="minorHAnsi" w:cstheme="minorHAnsi"/>
          <w:color w:val="000000"/>
          <w:bdr w:val="none" w:sz="0" w:space="0" w:color="auto" w:frame="1"/>
          <w:lang w:eastAsia="en-CA"/>
        </w:rPr>
        <w:t>p</w:t>
      </w:r>
      <w:r w:rsidRPr="00AB2735">
        <w:rPr>
          <w:rFonts w:asciiTheme="minorHAnsi" w:eastAsia="Times New Roman" w:hAnsiTheme="minorHAnsi" w:cstheme="minorHAnsi"/>
          <w:color w:val="000000"/>
          <w:bdr w:val="none" w:sz="0" w:space="0" w:color="auto" w:frame="1"/>
          <w:lang w:eastAsia="en-CA"/>
        </w:rPr>
        <w:t xml:space="preserve">onse to this question was that the students really learned beneficial information on specific disorders. With 17 students speaking on this, the most popular </w:t>
      </w:r>
      <w:r w:rsidR="0074468E" w:rsidRPr="00AB2735">
        <w:rPr>
          <w:rFonts w:asciiTheme="minorHAnsi" w:eastAsia="Times New Roman" w:hAnsiTheme="minorHAnsi" w:cstheme="minorHAnsi"/>
          <w:color w:val="000000"/>
          <w:bdr w:val="none" w:sz="0" w:space="0" w:color="auto" w:frame="1"/>
          <w:lang w:eastAsia="en-CA"/>
        </w:rPr>
        <w:t>topic</w:t>
      </w:r>
      <w:r w:rsidR="00C3564F" w:rsidRPr="00AB2735">
        <w:rPr>
          <w:rFonts w:asciiTheme="minorHAnsi" w:eastAsia="Times New Roman" w:hAnsiTheme="minorHAnsi" w:cstheme="minorHAnsi"/>
          <w:color w:val="000000"/>
          <w:bdr w:val="none" w:sz="0" w:space="0" w:color="auto" w:frame="1"/>
          <w:lang w:eastAsia="en-CA"/>
        </w:rPr>
        <w:t xml:space="preserve"> </w:t>
      </w:r>
      <w:r w:rsidRPr="00AB2735">
        <w:rPr>
          <w:rFonts w:asciiTheme="minorHAnsi" w:hAnsiTheme="minorHAnsi" w:cstheme="minorHAnsi"/>
          <w:lang w:val="en-CA"/>
        </w:rPr>
        <w:t xml:space="preserve">that the </w:t>
      </w:r>
      <w:r w:rsidR="008B638D" w:rsidRPr="00AB2735">
        <w:rPr>
          <w:rFonts w:asciiTheme="minorHAnsi" w:hAnsiTheme="minorHAnsi" w:cstheme="minorHAnsi"/>
          <w:lang w:val="en-CA"/>
        </w:rPr>
        <w:t>middle schoolers</w:t>
      </w:r>
      <w:r w:rsidRPr="00AB2735">
        <w:rPr>
          <w:rFonts w:asciiTheme="minorHAnsi" w:hAnsiTheme="minorHAnsi" w:cstheme="minorHAnsi"/>
          <w:lang w:val="en-CA"/>
        </w:rPr>
        <w:t xml:space="preserve"> enjoyed learning about is A</w:t>
      </w:r>
      <w:r w:rsidR="008B638D" w:rsidRPr="00AB2735">
        <w:rPr>
          <w:rFonts w:asciiTheme="minorHAnsi" w:hAnsiTheme="minorHAnsi" w:cstheme="minorHAnsi"/>
          <w:lang w:val="en-CA"/>
        </w:rPr>
        <w:t>ttention-</w:t>
      </w:r>
      <w:r w:rsidRPr="00AB2735">
        <w:rPr>
          <w:rFonts w:asciiTheme="minorHAnsi" w:hAnsiTheme="minorHAnsi" w:cstheme="minorHAnsi"/>
          <w:lang w:val="en-CA"/>
        </w:rPr>
        <w:t>D</w:t>
      </w:r>
      <w:r w:rsidR="008B638D" w:rsidRPr="00AB2735">
        <w:rPr>
          <w:rFonts w:asciiTheme="minorHAnsi" w:hAnsiTheme="minorHAnsi" w:cstheme="minorHAnsi"/>
          <w:lang w:val="en-CA"/>
        </w:rPr>
        <w:t xml:space="preserve">eficit </w:t>
      </w:r>
      <w:r w:rsidRPr="00AB2735">
        <w:rPr>
          <w:rFonts w:asciiTheme="minorHAnsi" w:hAnsiTheme="minorHAnsi" w:cstheme="minorHAnsi"/>
          <w:lang w:val="en-CA"/>
        </w:rPr>
        <w:t>H</w:t>
      </w:r>
      <w:r w:rsidR="008B638D" w:rsidRPr="00AB2735">
        <w:rPr>
          <w:rFonts w:asciiTheme="minorHAnsi" w:hAnsiTheme="minorHAnsi" w:cstheme="minorHAnsi"/>
          <w:lang w:val="en-CA"/>
        </w:rPr>
        <w:t xml:space="preserve">yperactivity </w:t>
      </w:r>
      <w:r w:rsidRPr="00AB2735">
        <w:rPr>
          <w:rFonts w:asciiTheme="minorHAnsi" w:hAnsiTheme="minorHAnsi" w:cstheme="minorHAnsi"/>
          <w:lang w:val="en-CA"/>
        </w:rPr>
        <w:t>D</w:t>
      </w:r>
      <w:r w:rsidR="008B638D" w:rsidRPr="00AB2735">
        <w:rPr>
          <w:rFonts w:asciiTheme="minorHAnsi" w:hAnsiTheme="minorHAnsi" w:cstheme="minorHAnsi"/>
          <w:lang w:val="en-CA"/>
        </w:rPr>
        <w:t>isorder</w:t>
      </w:r>
      <w:r w:rsidRPr="00AB2735">
        <w:rPr>
          <w:rFonts w:asciiTheme="minorHAnsi" w:hAnsiTheme="minorHAnsi" w:cstheme="minorHAnsi"/>
          <w:lang w:val="en-CA"/>
        </w:rPr>
        <w:t>. With the second most popular being Anxiety and its associated disorders</w:t>
      </w:r>
      <w:r w:rsidR="008B638D" w:rsidRPr="00AB2735">
        <w:rPr>
          <w:rFonts w:asciiTheme="minorHAnsi" w:hAnsiTheme="minorHAnsi" w:cstheme="minorHAnsi"/>
          <w:lang w:val="en-CA"/>
        </w:rPr>
        <w:t xml:space="preserve">, such as </w:t>
      </w:r>
      <w:r w:rsidR="00C3564F" w:rsidRPr="00AB2735">
        <w:rPr>
          <w:rFonts w:asciiTheme="minorHAnsi" w:hAnsiTheme="minorHAnsi" w:cstheme="minorHAnsi"/>
          <w:lang w:val="en-CA"/>
        </w:rPr>
        <w:t>Obsessive-Compulsive</w:t>
      </w:r>
      <w:r w:rsidR="008B638D" w:rsidRPr="00AB2735">
        <w:rPr>
          <w:rFonts w:asciiTheme="minorHAnsi" w:hAnsiTheme="minorHAnsi" w:cstheme="minorHAnsi"/>
          <w:lang w:val="en-CA"/>
        </w:rPr>
        <w:t xml:space="preserve"> Disorder</w:t>
      </w:r>
      <w:r w:rsidRPr="00AB2735">
        <w:rPr>
          <w:rFonts w:asciiTheme="minorHAnsi" w:hAnsiTheme="minorHAnsi" w:cstheme="minorHAnsi"/>
          <w:lang w:val="en-CA"/>
        </w:rPr>
        <w:t>.</w:t>
      </w:r>
      <w:r w:rsidR="008B638D" w:rsidRPr="00AB2735">
        <w:rPr>
          <w:rFonts w:asciiTheme="minorHAnsi" w:hAnsiTheme="minorHAnsi" w:cstheme="minorHAnsi"/>
          <w:lang w:val="en-CA"/>
        </w:rPr>
        <w:t xml:space="preserve"> The warning signs of suicide seems to be important to some students, “The signs of teen suicide. If a friend or relative is looking to die you can see that and help.”</w:t>
      </w:r>
    </w:p>
    <w:p w14:paraId="3DA4B7CB" w14:textId="51D65B16" w:rsidR="008B638D" w:rsidRPr="00AB2735" w:rsidRDefault="008B638D" w:rsidP="001B2B30">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Seven students really enjoyed learning about how and when to get help for mental distress or mental disorders.</w:t>
      </w:r>
      <w:r w:rsidR="009D5E7E" w:rsidRPr="00AB2735">
        <w:rPr>
          <w:rFonts w:asciiTheme="minorHAnsi" w:eastAsia="Times New Roman" w:hAnsiTheme="minorHAnsi" w:cstheme="minorHAnsi"/>
          <w:color w:val="000000"/>
          <w:bdr w:val="none" w:sz="0" w:space="0" w:color="auto" w:frame="1"/>
          <w:lang w:eastAsia="en-CA"/>
        </w:rPr>
        <w:t xml:space="preserve"> One student was comforted knowing that people care about them when they seek help. “I think the most important topic we learned about is asking for help. Because it really encourages people to be concerned and realize that there are people that care out there.” Others stated that they can encourage others to seek the help they need, with no judgement</w:t>
      </w:r>
      <w:r w:rsidR="00244F46" w:rsidRPr="00AB2735">
        <w:rPr>
          <w:rFonts w:asciiTheme="minorHAnsi" w:eastAsia="Times New Roman" w:hAnsiTheme="minorHAnsi" w:cstheme="minorHAnsi"/>
          <w:color w:val="000000"/>
          <w:bdr w:val="none" w:sz="0" w:space="0" w:color="auto" w:frame="1"/>
          <w:lang w:eastAsia="en-CA"/>
        </w:rPr>
        <w:t>. One student said that seeking help is always a good idea, “The most important thing that I learned about mental health is to always seek for help even though you’re scared and worried. Because it’s not always right to keep your problems to yourself.”</w:t>
      </w:r>
    </w:p>
    <w:p w14:paraId="27714EAF" w14:textId="584D70E8" w:rsidR="00244F46" w:rsidRPr="00AB2735" w:rsidRDefault="00244F46" w:rsidP="001B2B30">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Brain development and brain function was important to six students. One student particularly found this most interesting: “how our body reacts to certain things. Like how we can sense danger, or how we have neurons connecting through our body and communicating.” Five students stated that they think reduction of stigma was the most important part to learn from the curriculum</w:t>
      </w:r>
      <w:r w:rsidR="00E26E8F" w:rsidRPr="00AB2735">
        <w:rPr>
          <w:rFonts w:asciiTheme="minorHAnsi" w:eastAsia="Times New Roman" w:hAnsiTheme="minorHAnsi" w:cstheme="minorHAnsi"/>
          <w:color w:val="000000"/>
          <w:bdr w:val="none" w:sz="0" w:space="0" w:color="auto" w:frame="1"/>
          <w:lang w:eastAsia="en-CA"/>
        </w:rPr>
        <w:t xml:space="preserve">. Everything from the effects of stigma, reducing their own stigma (“The </w:t>
      </w:r>
      <w:r w:rsidR="00E26E8F" w:rsidRPr="00AB2735">
        <w:rPr>
          <w:rFonts w:asciiTheme="minorHAnsi" w:eastAsia="Times New Roman" w:hAnsiTheme="minorHAnsi" w:cstheme="minorHAnsi"/>
          <w:color w:val="000000"/>
          <w:bdr w:val="none" w:sz="0" w:space="0" w:color="auto" w:frame="1"/>
          <w:lang w:eastAsia="en-CA"/>
        </w:rPr>
        <w:lastRenderedPageBreak/>
        <w:t>part when we learned about all of the mental disorders and learn that people with mental disorders are almost just like us”). As well as how stigma can lead to a reduction in help-seeking and furthers their understanding of how important seeking help is, “The most important thing I learned about in the mental health curriculum is stigma because now we know what keeps people from getting help, so we can encourage them to get help.”</w:t>
      </w:r>
    </w:p>
    <w:p w14:paraId="2DF1517E" w14:textId="14F2169B" w:rsidR="00E26E8F" w:rsidRPr="00AB2735" w:rsidRDefault="00E26E8F" w:rsidP="001B2B30">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 xml:space="preserve">Including first-hand accounts of people with mental illnesses and how they go about their lives jumping past each hurdle has been beneficial for many students. These students liked </w:t>
      </w:r>
      <w:r w:rsidR="00983F62" w:rsidRPr="00AB2735">
        <w:rPr>
          <w:rFonts w:asciiTheme="minorHAnsi" w:eastAsia="Times New Roman" w:hAnsiTheme="minorHAnsi" w:cstheme="minorHAnsi"/>
          <w:color w:val="000000"/>
          <w:bdr w:val="none" w:sz="0" w:space="0" w:color="auto" w:frame="1"/>
          <w:lang w:eastAsia="en-CA"/>
        </w:rPr>
        <w:t>the videos</w:t>
      </w:r>
      <w:r w:rsidRPr="00AB2735">
        <w:rPr>
          <w:rFonts w:asciiTheme="minorHAnsi" w:eastAsia="Times New Roman" w:hAnsiTheme="minorHAnsi" w:cstheme="minorHAnsi"/>
          <w:color w:val="000000"/>
          <w:bdr w:val="none" w:sz="0" w:space="0" w:color="auto" w:frame="1"/>
          <w:lang w:eastAsia="en-CA"/>
        </w:rPr>
        <w:t xml:space="preserve"> about the personal stories and how they deal with their illness </w:t>
      </w:r>
      <w:r w:rsidR="00C3564F" w:rsidRPr="00AB2735">
        <w:rPr>
          <w:rFonts w:asciiTheme="minorHAnsi" w:eastAsia="Times New Roman" w:hAnsiTheme="minorHAnsi" w:cstheme="minorHAnsi"/>
          <w:color w:val="000000"/>
          <w:bdr w:val="none" w:sz="0" w:space="0" w:color="auto" w:frame="1"/>
          <w:lang w:eastAsia="en-CA"/>
        </w:rPr>
        <w:t>every day</w:t>
      </w:r>
      <w:r w:rsidRPr="00AB2735">
        <w:rPr>
          <w:rFonts w:asciiTheme="minorHAnsi" w:eastAsia="Times New Roman" w:hAnsiTheme="minorHAnsi" w:cstheme="minorHAnsi"/>
          <w:color w:val="000000"/>
          <w:bdr w:val="none" w:sz="0" w:space="0" w:color="auto" w:frame="1"/>
          <w:lang w:eastAsia="en-CA"/>
        </w:rPr>
        <w:t xml:space="preserve"> and how they </w:t>
      </w:r>
      <w:r w:rsidR="00983F62" w:rsidRPr="00AB2735">
        <w:rPr>
          <w:rFonts w:asciiTheme="minorHAnsi" w:eastAsia="Times New Roman" w:hAnsiTheme="minorHAnsi" w:cstheme="minorHAnsi"/>
          <w:color w:val="000000"/>
          <w:bdr w:val="none" w:sz="0" w:space="0" w:color="auto" w:frame="1"/>
          <w:lang w:eastAsia="en-CA"/>
        </w:rPr>
        <w:t xml:space="preserve">are </w:t>
      </w:r>
      <w:r w:rsidRPr="00AB2735">
        <w:rPr>
          <w:rFonts w:asciiTheme="minorHAnsi" w:eastAsia="Times New Roman" w:hAnsiTheme="minorHAnsi" w:cstheme="minorHAnsi"/>
          <w:color w:val="000000"/>
          <w:bdr w:val="none" w:sz="0" w:space="0" w:color="auto" w:frame="1"/>
          <w:lang w:eastAsia="en-CA"/>
        </w:rPr>
        <w:t>recover</w:t>
      </w:r>
      <w:r w:rsidR="00983F62" w:rsidRPr="00AB2735">
        <w:rPr>
          <w:rFonts w:asciiTheme="minorHAnsi" w:eastAsia="Times New Roman" w:hAnsiTheme="minorHAnsi" w:cstheme="minorHAnsi"/>
          <w:color w:val="000000"/>
          <w:bdr w:val="none" w:sz="0" w:space="0" w:color="auto" w:frame="1"/>
          <w:lang w:eastAsia="en-CA"/>
        </w:rPr>
        <w:t>ing. It shows the students different perspectives, “I also like in the videos we watched we can see that person with a disorder, their view in this world.” Some students also felt connected to the personal stories with their own experiences, “The most important part of the mental health curriculum was about all the disorders and the things that many people go through. Another thing is how they can recover and what affects them the most during what they are going through. Recovery is one of the toughest things to go through, I just handled with my anxiety, and went to see a professional about my anger issues.”</w:t>
      </w:r>
      <w:r w:rsidR="006B342D" w:rsidRPr="00AB2735">
        <w:rPr>
          <w:rFonts w:asciiTheme="minorHAnsi" w:eastAsia="Times New Roman" w:hAnsiTheme="minorHAnsi" w:cstheme="minorHAnsi"/>
          <w:color w:val="000000"/>
          <w:bdr w:val="none" w:sz="0" w:space="0" w:color="auto" w:frame="1"/>
          <w:lang w:eastAsia="en-CA"/>
        </w:rPr>
        <w:t xml:space="preserve"> Having the videos of actual people, with actual true stories gave a more powerful way of learning about others and what they are going through for some students, </w:t>
      </w:r>
      <w:r w:rsidR="00983F62" w:rsidRPr="00AB2735">
        <w:rPr>
          <w:rFonts w:asciiTheme="minorHAnsi" w:eastAsia="Times New Roman" w:hAnsiTheme="minorHAnsi" w:cstheme="minorHAnsi"/>
          <w:color w:val="000000"/>
          <w:bdr w:val="none" w:sz="0" w:space="0" w:color="auto" w:frame="1"/>
          <w:lang w:eastAsia="en-CA"/>
        </w:rPr>
        <w:t>“I think learning about different people with different disorders was really cool to see. It was almost like talking to them in person, except they were the only ones talking. I liked learning their stories and how they got help.”</w:t>
      </w:r>
    </w:p>
    <w:p w14:paraId="1A0CC14E" w14:textId="1E9957DF" w:rsidR="00C10521" w:rsidRPr="00AB2735" w:rsidRDefault="006B342D" w:rsidP="001B2B30">
      <w:pPr>
        <w:autoSpaceDE w:val="0"/>
        <w:autoSpaceDN w:val="0"/>
        <w:adjustRightInd w:val="0"/>
        <w:spacing w:line="360" w:lineRule="auto"/>
        <w:ind w:firstLine="720"/>
        <w:rPr>
          <w:rFonts w:asciiTheme="minorHAnsi" w:eastAsia="Times New Roman" w:hAnsiTheme="minorHAnsi" w:cstheme="minorHAnsi"/>
          <w:color w:val="000000"/>
          <w:bdr w:val="none" w:sz="0" w:space="0" w:color="auto" w:frame="1"/>
          <w:lang w:eastAsia="en-CA"/>
        </w:rPr>
      </w:pPr>
      <w:r w:rsidRPr="00AB2735">
        <w:rPr>
          <w:rFonts w:asciiTheme="minorHAnsi" w:eastAsia="Times New Roman" w:hAnsiTheme="minorHAnsi" w:cstheme="minorHAnsi"/>
          <w:color w:val="000000"/>
          <w:bdr w:val="none" w:sz="0" w:space="0" w:color="auto" w:frame="1"/>
          <w:lang w:eastAsia="en-CA"/>
        </w:rPr>
        <w:t>Some aspects of mental health literacy w</w:t>
      </w:r>
      <w:r w:rsidR="00C626FC" w:rsidRPr="00AB2735">
        <w:rPr>
          <w:rFonts w:asciiTheme="minorHAnsi" w:eastAsia="Times New Roman" w:hAnsiTheme="minorHAnsi" w:cstheme="minorHAnsi"/>
          <w:color w:val="000000"/>
          <w:bdr w:val="none" w:sz="0" w:space="0" w:color="auto" w:frame="1"/>
          <w:lang w:eastAsia="en-CA"/>
        </w:rPr>
        <w:t>ere</w:t>
      </w:r>
      <w:r w:rsidRPr="00AB2735">
        <w:rPr>
          <w:rFonts w:asciiTheme="minorHAnsi" w:eastAsia="Times New Roman" w:hAnsiTheme="minorHAnsi" w:cstheme="minorHAnsi"/>
          <w:color w:val="000000"/>
          <w:bdr w:val="none" w:sz="0" w:space="0" w:color="auto" w:frame="1"/>
          <w:lang w:eastAsia="en-CA"/>
        </w:rPr>
        <w:t xml:space="preserve"> important to a couple of students. Learning the difference between mental health and mental illness as well as the statistics of each mental illness and onset age were among the top interests of these students.</w:t>
      </w:r>
    </w:p>
    <w:p w14:paraId="6E37C8DF" w14:textId="3ED742CD" w:rsidR="00F67918" w:rsidRPr="00AB2735" w:rsidRDefault="00C10521" w:rsidP="001B2B30">
      <w:pPr>
        <w:autoSpaceDE w:val="0"/>
        <w:autoSpaceDN w:val="0"/>
        <w:adjustRightInd w:val="0"/>
        <w:spacing w:line="360" w:lineRule="auto"/>
        <w:ind w:firstLine="720"/>
        <w:rPr>
          <w:rFonts w:asciiTheme="minorHAnsi" w:eastAsiaTheme="minorHAnsi" w:hAnsiTheme="minorHAnsi" w:cstheme="minorHAnsi"/>
          <w:color w:val="000000"/>
          <w:lang w:val="en-CA" w:eastAsia="en-US"/>
        </w:rPr>
      </w:pPr>
      <w:r w:rsidRPr="00AB2735">
        <w:rPr>
          <w:rFonts w:asciiTheme="minorHAnsi" w:eastAsiaTheme="minorHAnsi" w:hAnsiTheme="minorHAnsi" w:cstheme="minorHAnsi"/>
          <w:color w:val="000000"/>
          <w:lang w:val="en-CA" w:eastAsia="en-US"/>
        </w:rPr>
        <w:t xml:space="preserve">Overall, the evaluations indicated a predominantly positive experience with the program in addition to the previously detailed positive </w:t>
      </w:r>
      <w:r w:rsidR="00C626FC" w:rsidRPr="00AB2735">
        <w:rPr>
          <w:rFonts w:asciiTheme="minorHAnsi" w:eastAsiaTheme="minorHAnsi" w:hAnsiTheme="minorHAnsi" w:cstheme="minorHAnsi"/>
          <w:color w:val="000000"/>
          <w:lang w:val="en-CA" w:eastAsia="en-US"/>
        </w:rPr>
        <w:t xml:space="preserve">statistical </w:t>
      </w:r>
      <w:r w:rsidRPr="00AB2735">
        <w:rPr>
          <w:rFonts w:asciiTheme="minorHAnsi" w:eastAsiaTheme="minorHAnsi" w:hAnsiTheme="minorHAnsi" w:cstheme="minorHAnsi"/>
          <w:color w:val="000000"/>
          <w:lang w:val="en-CA" w:eastAsia="en-US"/>
        </w:rPr>
        <w:t>outcomes on mental health knowledge</w:t>
      </w:r>
      <w:r w:rsidR="00442E7B" w:rsidRPr="00AB2735">
        <w:rPr>
          <w:rFonts w:asciiTheme="minorHAnsi" w:eastAsiaTheme="minorHAnsi" w:hAnsiTheme="minorHAnsi" w:cstheme="minorHAnsi"/>
          <w:color w:val="000000"/>
          <w:lang w:val="en-CA" w:eastAsia="en-US"/>
        </w:rPr>
        <w:t>,</w:t>
      </w:r>
      <w:r w:rsidRPr="00AB2735">
        <w:rPr>
          <w:rFonts w:asciiTheme="minorHAnsi" w:eastAsiaTheme="minorHAnsi" w:hAnsiTheme="minorHAnsi" w:cstheme="minorHAnsi"/>
          <w:color w:val="000000"/>
          <w:lang w:val="en-CA" w:eastAsia="en-US"/>
        </w:rPr>
        <w:t xml:space="preserve"> attitudes</w:t>
      </w:r>
      <w:r w:rsidR="00442E7B" w:rsidRPr="00AB2735">
        <w:rPr>
          <w:rFonts w:asciiTheme="minorHAnsi" w:eastAsiaTheme="minorHAnsi" w:hAnsiTheme="minorHAnsi" w:cstheme="minorHAnsi"/>
          <w:color w:val="000000"/>
          <w:lang w:val="en-CA" w:eastAsia="en-US"/>
        </w:rPr>
        <w:t xml:space="preserve"> toward mental illness, and help-seeking</w:t>
      </w:r>
      <w:r w:rsidRPr="00AB2735">
        <w:rPr>
          <w:rFonts w:asciiTheme="minorHAnsi" w:eastAsiaTheme="minorHAnsi" w:hAnsiTheme="minorHAnsi" w:cstheme="minorHAnsi"/>
          <w:color w:val="000000"/>
          <w:lang w:val="en-CA" w:eastAsia="en-US"/>
        </w:rPr>
        <w:t xml:space="preserve">. This offers further support for the implementation of this training with educators in the province of </w:t>
      </w:r>
      <w:r w:rsidR="00F53477" w:rsidRPr="00AB2735">
        <w:rPr>
          <w:rFonts w:asciiTheme="minorHAnsi" w:eastAsiaTheme="minorHAnsi" w:hAnsiTheme="minorHAnsi" w:cstheme="minorHAnsi"/>
          <w:color w:val="000000"/>
          <w:lang w:val="en-CA" w:eastAsia="en-US"/>
        </w:rPr>
        <w:t>New Brunswick</w:t>
      </w:r>
      <w:r w:rsidRPr="00AB2735">
        <w:rPr>
          <w:rFonts w:asciiTheme="minorHAnsi" w:eastAsiaTheme="minorHAnsi" w:hAnsiTheme="minorHAnsi" w:cstheme="minorHAnsi"/>
          <w:color w:val="000000"/>
          <w:lang w:val="en-CA" w:eastAsia="en-US"/>
        </w:rPr>
        <w:t>.</w:t>
      </w:r>
    </w:p>
    <w:p w14:paraId="6D220606" w14:textId="77777777" w:rsidR="001775C9" w:rsidRPr="00AB2735" w:rsidRDefault="001775C9" w:rsidP="001775C9">
      <w:pPr>
        <w:spacing w:line="360" w:lineRule="auto"/>
        <w:rPr>
          <w:rFonts w:asciiTheme="minorHAnsi" w:hAnsiTheme="minorHAnsi" w:cstheme="minorHAnsi"/>
          <w:b/>
          <w:color w:val="800080"/>
          <w:lang w:val="en-CA"/>
        </w:rPr>
      </w:pPr>
      <w:r w:rsidRPr="00AB2735">
        <w:rPr>
          <w:rFonts w:asciiTheme="minorHAnsi" w:hAnsiTheme="minorHAnsi" w:cstheme="minorHAnsi"/>
          <w:b/>
          <w:color w:val="800080"/>
          <w:lang w:val="en-CA"/>
        </w:rPr>
        <w:t>Discussion</w:t>
      </w:r>
    </w:p>
    <w:p w14:paraId="5E9C8F98" w14:textId="093B873C" w:rsidR="00D14FEA" w:rsidRPr="00AB2735" w:rsidRDefault="001775C9" w:rsidP="00FA572B">
      <w:pPr>
        <w:autoSpaceDE w:val="0"/>
        <w:autoSpaceDN w:val="0"/>
        <w:adjustRightInd w:val="0"/>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The results of this evaluation clearly demonstrate the benefits of the </w:t>
      </w:r>
      <w:r w:rsidR="00F53477" w:rsidRPr="00AB2735">
        <w:rPr>
          <w:rFonts w:asciiTheme="minorHAnsi" w:hAnsiTheme="minorHAnsi" w:cstheme="minorHAnsi"/>
          <w:lang w:val="en-CA"/>
        </w:rPr>
        <w:t>Mental Health and High School Curriculum</w:t>
      </w:r>
      <w:r w:rsidR="003F4CAE" w:rsidRPr="00AB2735">
        <w:rPr>
          <w:rFonts w:asciiTheme="minorHAnsi" w:hAnsiTheme="minorHAnsi" w:cstheme="minorHAnsi"/>
          <w:lang w:val="en-CA"/>
        </w:rPr>
        <w:t xml:space="preserve"> Guide</w:t>
      </w:r>
      <w:r w:rsidR="00F53477" w:rsidRPr="00AB2735">
        <w:rPr>
          <w:rFonts w:asciiTheme="minorHAnsi" w:hAnsiTheme="minorHAnsi" w:cstheme="minorHAnsi"/>
          <w:lang w:val="en-CA"/>
        </w:rPr>
        <w:t xml:space="preserve"> p</w:t>
      </w:r>
      <w:r w:rsidR="003F4CAE" w:rsidRPr="00AB2735">
        <w:rPr>
          <w:rFonts w:asciiTheme="minorHAnsi" w:hAnsiTheme="minorHAnsi" w:cstheme="minorHAnsi"/>
          <w:lang w:val="en-CA"/>
        </w:rPr>
        <w:t>rogram</w:t>
      </w:r>
      <w:r w:rsidRPr="00AB2735">
        <w:rPr>
          <w:rFonts w:asciiTheme="minorHAnsi" w:hAnsiTheme="minorHAnsi" w:cstheme="minorHAnsi"/>
          <w:lang w:val="en-CA"/>
        </w:rPr>
        <w:t xml:space="preserve"> for </w:t>
      </w:r>
      <w:r w:rsidR="00F53477" w:rsidRPr="00AB2735">
        <w:rPr>
          <w:rFonts w:asciiTheme="minorHAnsi" w:hAnsiTheme="minorHAnsi" w:cstheme="minorHAnsi"/>
          <w:lang w:val="en-CA"/>
        </w:rPr>
        <w:t>student</w:t>
      </w:r>
      <w:r w:rsidRPr="00AB2735">
        <w:rPr>
          <w:rFonts w:asciiTheme="minorHAnsi" w:hAnsiTheme="minorHAnsi" w:cstheme="minorHAnsi"/>
          <w:lang w:val="en-CA"/>
        </w:rPr>
        <w:t>s’ general knowledge</w:t>
      </w:r>
      <w:r w:rsidR="00EF5708" w:rsidRPr="00AB2735">
        <w:rPr>
          <w:rFonts w:asciiTheme="minorHAnsi" w:hAnsiTheme="minorHAnsi" w:cstheme="minorHAnsi"/>
          <w:lang w:val="en-CA"/>
        </w:rPr>
        <w:t xml:space="preserve"> about mental health </w:t>
      </w:r>
      <w:r w:rsidR="00EF5708" w:rsidRPr="00AB2735">
        <w:rPr>
          <w:rFonts w:asciiTheme="minorHAnsi" w:hAnsiTheme="minorHAnsi" w:cstheme="minorHAnsi"/>
          <w:lang w:val="en-CA"/>
        </w:rPr>
        <w:lastRenderedPageBreak/>
        <w:t>and mental illness</w:t>
      </w:r>
      <w:r w:rsidR="00F53477" w:rsidRPr="00AB2735">
        <w:rPr>
          <w:rFonts w:asciiTheme="minorHAnsi" w:hAnsiTheme="minorHAnsi" w:cstheme="minorHAnsi"/>
          <w:lang w:val="en-CA"/>
        </w:rPr>
        <w:t>,</w:t>
      </w:r>
      <w:r w:rsidRPr="00AB2735">
        <w:rPr>
          <w:rFonts w:asciiTheme="minorHAnsi" w:hAnsiTheme="minorHAnsi" w:cstheme="minorHAnsi"/>
          <w:lang w:val="en-CA"/>
        </w:rPr>
        <w:t xml:space="preserve"> </w:t>
      </w:r>
      <w:r w:rsidR="00F53477" w:rsidRPr="00AB2735">
        <w:rPr>
          <w:rFonts w:asciiTheme="minorHAnsi" w:hAnsiTheme="minorHAnsi" w:cstheme="minorHAnsi"/>
          <w:lang w:val="en-CA"/>
        </w:rPr>
        <w:t xml:space="preserve">and </w:t>
      </w:r>
      <w:r w:rsidR="00D93A51" w:rsidRPr="00AB2735">
        <w:rPr>
          <w:rFonts w:asciiTheme="minorHAnsi" w:hAnsiTheme="minorHAnsi" w:cstheme="minorHAnsi"/>
          <w:lang w:val="en-CA"/>
        </w:rPr>
        <w:t>attitudes toward mental illness</w:t>
      </w:r>
      <w:r w:rsidR="00F53477" w:rsidRPr="00AB2735">
        <w:rPr>
          <w:rFonts w:asciiTheme="minorHAnsi" w:hAnsiTheme="minorHAnsi" w:cstheme="minorHAnsi"/>
          <w:lang w:val="en-CA"/>
        </w:rPr>
        <w:t xml:space="preserve"> and help-seeking</w:t>
      </w:r>
      <w:r w:rsidRPr="00AB2735">
        <w:rPr>
          <w:rFonts w:asciiTheme="minorHAnsi" w:hAnsiTheme="minorHAnsi" w:cstheme="minorHAnsi"/>
          <w:lang w:val="en-CA"/>
        </w:rPr>
        <w:t>. Both knowledge and attitude scores showed statistically significant (p</w:t>
      </w:r>
      <w:r w:rsidR="00EF5708" w:rsidRPr="00AB2735">
        <w:rPr>
          <w:rFonts w:asciiTheme="minorHAnsi" w:hAnsiTheme="minorHAnsi" w:cstheme="minorHAnsi"/>
          <w:lang w:val="en-CA"/>
        </w:rPr>
        <w:t>=</w:t>
      </w:r>
      <w:r w:rsidRPr="00AB2735">
        <w:rPr>
          <w:rFonts w:asciiTheme="minorHAnsi" w:hAnsiTheme="minorHAnsi" w:cstheme="minorHAnsi"/>
          <w:lang w:val="en-CA"/>
        </w:rPr>
        <w:t>.000; p</w:t>
      </w:r>
      <w:r w:rsidR="00D93A51" w:rsidRPr="00AB2735">
        <w:rPr>
          <w:rFonts w:asciiTheme="minorHAnsi" w:hAnsiTheme="minorHAnsi" w:cstheme="minorHAnsi"/>
          <w:lang w:val="en-CA"/>
        </w:rPr>
        <w:t>=.0</w:t>
      </w:r>
      <w:r w:rsidR="00EF5708" w:rsidRPr="00AB2735">
        <w:rPr>
          <w:rFonts w:asciiTheme="minorHAnsi" w:hAnsiTheme="minorHAnsi" w:cstheme="minorHAnsi"/>
          <w:lang w:val="en-CA"/>
        </w:rPr>
        <w:t>03</w:t>
      </w:r>
      <w:r w:rsidRPr="00AB2735">
        <w:rPr>
          <w:rFonts w:asciiTheme="minorHAnsi" w:hAnsiTheme="minorHAnsi" w:cstheme="minorHAnsi"/>
          <w:lang w:val="en-CA"/>
        </w:rPr>
        <w:t>, respectively) as well as statistically substantial (d=</w:t>
      </w:r>
      <w:r w:rsidR="00EF5708" w:rsidRPr="00AB2735">
        <w:rPr>
          <w:rFonts w:asciiTheme="minorHAnsi" w:hAnsiTheme="minorHAnsi" w:cstheme="minorHAnsi"/>
          <w:lang w:val="en-CA"/>
        </w:rPr>
        <w:t>.66</w:t>
      </w:r>
      <w:r w:rsidRPr="00AB2735">
        <w:rPr>
          <w:rFonts w:asciiTheme="minorHAnsi" w:hAnsiTheme="minorHAnsi" w:cstheme="minorHAnsi"/>
          <w:lang w:val="en-CA"/>
        </w:rPr>
        <w:t>; d =.</w:t>
      </w:r>
      <w:r w:rsidR="00D93A51" w:rsidRPr="00AB2735">
        <w:rPr>
          <w:rFonts w:asciiTheme="minorHAnsi" w:hAnsiTheme="minorHAnsi" w:cstheme="minorHAnsi"/>
          <w:lang w:val="en-CA"/>
        </w:rPr>
        <w:t>3</w:t>
      </w:r>
      <w:r w:rsidR="00EF5708" w:rsidRPr="00AB2735">
        <w:rPr>
          <w:rFonts w:asciiTheme="minorHAnsi" w:hAnsiTheme="minorHAnsi" w:cstheme="minorHAnsi"/>
          <w:lang w:val="en-CA"/>
        </w:rPr>
        <w:t>0</w:t>
      </w:r>
      <w:r w:rsidRPr="00AB2735">
        <w:rPr>
          <w:rFonts w:asciiTheme="minorHAnsi" w:hAnsiTheme="minorHAnsi" w:cstheme="minorHAnsi"/>
          <w:lang w:val="en-CA"/>
        </w:rPr>
        <w:t>, respectively) improvements following the intervention</w:t>
      </w:r>
      <w:r w:rsidR="00A31A1B" w:rsidRPr="00AB2735">
        <w:rPr>
          <w:rFonts w:asciiTheme="minorHAnsi" w:hAnsiTheme="minorHAnsi" w:cstheme="minorHAnsi"/>
          <w:lang w:val="en-CA"/>
        </w:rPr>
        <w:t xml:space="preserve"> in the experimental group</w:t>
      </w:r>
      <w:r w:rsidRPr="00AB2735">
        <w:rPr>
          <w:rFonts w:asciiTheme="minorHAnsi" w:hAnsiTheme="minorHAnsi" w:cstheme="minorHAnsi"/>
          <w:lang w:val="en-CA"/>
        </w:rPr>
        <w:t>.</w:t>
      </w:r>
    </w:p>
    <w:p w14:paraId="62BED9F8" w14:textId="78A99C30" w:rsidR="00E44A05" w:rsidRPr="00AB2735" w:rsidRDefault="00E44A05" w:rsidP="00FA572B">
      <w:pPr>
        <w:autoSpaceDE w:val="0"/>
        <w:autoSpaceDN w:val="0"/>
        <w:adjustRightInd w:val="0"/>
        <w:spacing w:line="360" w:lineRule="auto"/>
        <w:ind w:firstLine="720"/>
        <w:rPr>
          <w:rFonts w:asciiTheme="minorHAnsi" w:hAnsiTheme="minorHAnsi" w:cstheme="minorHAnsi"/>
          <w:lang w:val="en-CA"/>
        </w:rPr>
      </w:pPr>
      <w:r w:rsidRPr="00AB2735">
        <w:rPr>
          <w:rFonts w:asciiTheme="minorHAnsi" w:hAnsiTheme="minorHAnsi" w:cstheme="minorHAnsi"/>
          <w:lang w:val="en-CA"/>
        </w:rPr>
        <w:t>Results from the gender analyses showed non-significant differences in average knowledge and help-seeking scores (p=.484; p=.221, respectively). However, there were significant differences in attitudes scores, with women showing higher average attitude scores (</w:t>
      </w:r>
      <w:r w:rsidRPr="00AB2735">
        <w:rPr>
          <w:rFonts w:asciiTheme="minorHAnsi" w:hAnsiTheme="minorHAnsi" w:cstheme="minorHAnsi"/>
          <w:i/>
          <w:iCs/>
          <w:lang w:val="en-CA"/>
        </w:rPr>
        <w:t>p</w:t>
      </w:r>
      <w:r w:rsidRPr="00AB2735">
        <w:rPr>
          <w:rFonts w:asciiTheme="minorHAnsi" w:hAnsiTheme="minorHAnsi" w:cstheme="minorHAnsi"/>
          <w:lang w:val="en-CA"/>
        </w:rPr>
        <w:t xml:space="preserve"> = .019, h</w:t>
      </w:r>
      <w:r w:rsidRPr="00AB2735">
        <w:rPr>
          <w:rFonts w:asciiTheme="minorHAnsi" w:hAnsiTheme="minorHAnsi" w:cstheme="minorHAnsi"/>
          <w:vertAlign w:val="subscript"/>
          <w:lang w:val="en-CA"/>
        </w:rPr>
        <w:t>p</w:t>
      </w:r>
      <w:r w:rsidRPr="00AB2735">
        <w:rPr>
          <w:rFonts w:asciiTheme="minorHAnsi" w:hAnsiTheme="minorHAnsi" w:cstheme="minorHAnsi"/>
          <w:vertAlign w:val="superscript"/>
          <w:lang w:val="en-CA"/>
        </w:rPr>
        <w:t xml:space="preserve">2 </w:t>
      </w:r>
      <w:r w:rsidRPr="00AB2735">
        <w:rPr>
          <w:rFonts w:asciiTheme="minorHAnsi" w:hAnsiTheme="minorHAnsi" w:cstheme="minorHAnsi"/>
          <w:lang w:val="en-CA"/>
        </w:rPr>
        <w:t>=.084). This may suggest that females have better attitudes toward mental illness than males</w:t>
      </w:r>
      <w:r w:rsidR="00A31A1B" w:rsidRPr="00AB2735">
        <w:rPr>
          <w:rFonts w:asciiTheme="minorHAnsi" w:hAnsiTheme="minorHAnsi" w:cstheme="minorHAnsi"/>
          <w:lang w:val="en-CA"/>
        </w:rPr>
        <w:t xml:space="preserve">, while gender </w:t>
      </w:r>
      <w:proofErr w:type="gramStart"/>
      <w:r w:rsidR="00A31A1B" w:rsidRPr="00AB2735">
        <w:rPr>
          <w:rFonts w:asciiTheme="minorHAnsi" w:hAnsiTheme="minorHAnsi" w:cstheme="minorHAnsi"/>
          <w:lang w:val="en-CA"/>
        </w:rPr>
        <w:t>didn’t</w:t>
      </w:r>
      <w:proofErr w:type="gramEnd"/>
      <w:r w:rsidR="00A31A1B" w:rsidRPr="00AB2735">
        <w:rPr>
          <w:rFonts w:asciiTheme="minorHAnsi" w:hAnsiTheme="minorHAnsi" w:cstheme="minorHAnsi"/>
          <w:lang w:val="en-CA"/>
        </w:rPr>
        <w:t xml:space="preserve"> play an important role for the change of knowledge and help-seeking intentions</w:t>
      </w:r>
      <w:r w:rsidRPr="00AB2735">
        <w:rPr>
          <w:rFonts w:asciiTheme="minorHAnsi" w:hAnsiTheme="minorHAnsi" w:cstheme="minorHAnsi"/>
          <w:lang w:val="en-CA"/>
        </w:rPr>
        <w:t>.</w:t>
      </w:r>
    </w:p>
    <w:p w14:paraId="4668513F" w14:textId="2359A1DB" w:rsidR="004D5D81" w:rsidRPr="00AB2735" w:rsidRDefault="001775C9" w:rsidP="001775C9">
      <w:pPr>
        <w:autoSpaceDE w:val="0"/>
        <w:autoSpaceDN w:val="0"/>
        <w:adjustRightInd w:val="0"/>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This evaluation illustrates the significant positive changes in the enhancement of </w:t>
      </w:r>
      <w:r w:rsidR="0092749B" w:rsidRPr="00AB2735">
        <w:rPr>
          <w:rFonts w:asciiTheme="minorHAnsi" w:hAnsiTheme="minorHAnsi" w:cstheme="minorHAnsi"/>
          <w:lang w:val="en-CA"/>
        </w:rPr>
        <w:t xml:space="preserve">Anglophone </w:t>
      </w:r>
      <w:r w:rsidR="008902B8" w:rsidRPr="00AB2735">
        <w:rPr>
          <w:rFonts w:asciiTheme="minorHAnsi" w:hAnsiTheme="minorHAnsi" w:cstheme="minorHAnsi"/>
          <w:lang w:val="en-CA"/>
        </w:rPr>
        <w:t xml:space="preserve">North </w:t>
      </w:r>
      <w:r w:rsidR="0092749B" w:rsidRPr="00AB2735">
        <w:rPr>
          <w:rFonts w:asciiTheme="minorHAnsi" w:hAnsiTheme="minorHAnsi" w:cstheme="minorHAnsi"/>
          <w:lang w:val="en-CA"/>
        </w:rPr>
        <w:t>School D</w:t>
      </w:r>
      <w:r w:rsidR="009D7FCF" w:rsidRPr="00AB2735">
        <w:rPr>
          <w:rFonts w:asciiTheme="minorHAnsi" w:hAnsiTheme="minorHAnsi" w:cstheme="minorHAnsi"/>
          <w:lang w:val="en-CA"/>
        </w:rPr>
        <w:t>istrict</w:t>
      </w:r>
      <w:r w:rsidR="003F4CAE" w:rsidRPr="00AB2735">
        <w:rPr>
          <w:rFonts w:asciiTheme="minorHAnsi" w:hAnsiTheme="minorHAnsi" w:cstheme="minorHAnsi"/>
          <w:lang w:val="en-CA"/>
        </w:rPr>
        <w:t xml:space="preserve"> </w:t>
      </w:r>
      <w:r w:rsidR="0092749B" w:rsidRPr="00AB2735">
        <w:rPr>
          <w:rFonts w:asciiTheme="minorHAnsi" w:hAnsiTheme="minorHAnsi" w:cstheme="minorHAnsi"/>
          <w:lang w:val="en-CA"/>
        </w:rPr>
        <w:t>students</w:t>
      </w:r>
      <w:r w:rsidRPr="00AB2735">
        <w:rPr>
          <w:rFonts w:asciiTheme="minorHAnsi" w:hAnsiTheme="minorHAnsi" w:cstheme="minorHAnsi"/>
          <w:lang w:val="en-CA"/>
        </w:rPr>
        <w:t xml:space="preserve">’ knowledge and attitudes toward mental illness achieved using an educationally appropriate and inexpensive classroom-ready, student-focused mental health literary enhancement intervention that draws on existing pedagogical expertise. This result is consistent with evaluations conducted in </w:t>
      </w:r>
      <w:r w:rsidR="005B4370" w:rsidRPr="00AB2735">
        <w:rPr>
          <w:rFonts w:asciiTheme="minorHAnsi" w:hAnsiTheme="minorHAnsi" w:cstheme="minorHAnsi"/>
          <w:lang w:val="en-CA"/>
        </w:rPr>
        <w:t xml:space="preserve">high schools in </w:t>
      </w:r>
      <w:r w:rsidRPr="00AB2735">
        <w:rPr>
          <w:rFonts w:asciiTheme="minorHAnsi" w:hAnsiTheme="minorHAnsi" w:cstheme="minorHAnsi"/>
          <w:lang w:val="en-CA"/>
        </w:rPr>
        <w:t xml:space="preserve">other Canadian provinces (Kutcher, Wei, &amp; Morgan, 2015; </w:t>
      </w:r>
      <w:proofErr w:type="spellStart"/>
      <w:r w:rsidRPr="00AB2735">
        <w:rPr>
          <w:rFonts w:asciiTheme="minorHAnsi" w:hAnsiTheme="minorHAnsi" w:cstheme="minorHAnsi"/>
          <w:lang w:val="en-CA"/>
        </w:rPr>
        <w:t>McLuckie</w:t>
      </w:r>
      <w:proofErr w:type="spellEnd"/>
      <w:r w:rsidRPr="00AB2735">
        <w:rPr>
          <w:rFonts w:asciiTheme="minorHAnsi" w:hAnsiTheme="minorHAnsi" w:cstheme="minorHAnsi"/>
          <w:lang w:val="en-CA"/>
        </w:rPr>
        <w:t xml:space="preserve">, Kutcher, Wei, &amp; Weaver, 2014; Kutcher &amp; Wei, 2013; Kutcher, </w:t>
      </w:r>
      <w:proofErr w:type="spellStart"/>
      <w:r w:rsidRPr="00AB2735">
        <w:rPr>
          <w:rFonts w:asciiTheme="minorHAnsi" w:hAnsiTheme="minorHAnsi" w:cstheme="minorHAnsi"/>
          <w:lang w:val="en-CA"/>
        </w:rPr>
        <w:t>Bagnell</w:t>
      </w:r>
      <w:proofErr w:type="spellEnd"/>
      <w:r w:rsidRPr="00AB2735">
        <w:rPr>
          <w:rFonts w:asciiTheme="minorHAnsi" w:hAnsiTheme="minorHAnsi" w:cstheme="minorHAnsi"/>
          <w:lang w:val="en-CA"/>
        </w:rPr>
        <w:t xml:space="preserve">, &amp; Wei, 2015; Wei, Kutcher, Hine, &amp; Mackay, 2014, see </w:t>
      </w:r>
      <w:hyperlink r:id="rId13" w:history="1">
        <w:r w:rsidRPr="00AB2735">
          <w:rPr>
            <w:rStyle w:val="Hyperlink"/>
            <w:rFonts w:asciiTheme="minorHAnsi" w:hAnsiTheme="minorHAnsi" w:cstheme="minorHAnsi"/>
            <w:lang w:val="en-CA"/>
          </w:rPr>
          <w:t>http://teenmentalhealth.org/toolbox/</w:t>
        </w:r>
        <w:r w:rsidRPr="00AB2735">
          <w:rPr>
            <w:rStyle w:val="Hyperlink"/>
            <w:rFonts w:asciiTheme="minorHAnsi" w:hAnsiTheme="minorHAnsi" w:cstheme="minorHAnsi"/>
          </w:rPr>
          <w:t xml:space="preserve"> </w:t>
        </w:r>
        <w:r w:rsidRPr="00AB2735">
          <w:rPr>
            <w:rStyle w:val="Hyperlink"/>
            <w:rFonts w:asciiTheme="minorHAnsi" w:hAnsiTheme="minorHAnsi" w:cstheme="minorHAnsi"/>
            <w:lang w:val="en-CA"/>
          </w:rPr>
          <w:t>?</w:t>
        </w:r>
        <w:proofErr w:type="spellStart"/>
        <w:r w:rsidRPr="00AB2735">
          <w:rPr>
            <w:rStyle w:val="Hyperlink"/>
            <w:rFonts w:asciiTheme="minorHAnsi" w:hAnsiTheme="minorHAnsi" w:cstheme="minorHAnsi"/>
            <w:lang w:val="en-CA"/>
          </w:rPr>
          <w:t>filter_category</w:t>
        </w:r>
        <w:proofErr w:type="spellEnd"/>
        <w:r w:rsidRPr="00AB2735">
          <w:rPr>
            <w:rStyle w:val="Hyperlink"/>
            <w:rFonts w:asciiTheme="minorHAnsi" w:hAnsiTheme="minorHAnsi" w:cstheme="minorHAnsi"/>
            <w:lang w:val="en-CA"/>
          </w:rPr>
          <w:t>-filter=school-mental-health-reports</w:t>
        </w:r>
      </w:hyperlink>
      <w:r w:rsidRPr="00AB2735">
        <w:rPr>
          <w:rFonts w:asciiTheme="minorHAnsi" w:hAnsiTheme="minorHAnsi" w:cstheme="minorHAnsi"/>
          <w:lang w:val="en-CA"/>
        </w:rPr>
        <w:t xml:space="preserve"> for School of Mental Health reports from Nova Scotia, Ontario, and Calgary, Alberta) and further demonstrates the suitability of this approach as an effective i</w:t>
      </w:r>
      <w:r w:rsidR="009D7FCF" w:rsidRPr="00AB2735">
        <w:rPr>
          <w:rFonts w:asciiTheme="minorHAnsi" w:hAnsiTheme="minorHAnsi" w:cstheme="minorHAnsi"/>
          <w:lang w:val="en-CA"/>
        </w:rPr>
        <w:t>ntervention that can be used</w:t>
      </w:r>
      <w:r w:rsidRPr="00AB2735">
        <w:rPr>
          <w:rFonts w:asciiTheme="minorHAnsi" w:hAnsiTheme="minorHAnsi" w:cstheme="minorHAnsi"/>
          <w:lang w:val="en-CA"/>
        </w:rPr>
        <w:t xml:space="preserve"> to improve mental health literacy of </w:t>
      </w:r>
      <w:r w:rsidR="0092749B" w:rsidRPr="00AB2735">
        <w:rPr>
          <w:rFonts w:asciiTheme="minorHAnsi" w:hAnsiTheme="minorHAnsi" w:cstheme="minorHAnsi"/>
          <w:lang w:val="en-CA"/>
        </w:rPr>
        <w:t>middle school students in Anglophone North S</w:t>
      </w:r>
      <w:r w:rsidR="009D7FCF" w:rsidRPr="00AB2735">
        <w:rPr>
          <w:rFonts w:asciiTheme="minorHAnsi" w:hAnsiTheme="minorHAnsi" w:cstheme="minorHAnsi"/>
          <w:lang w:val="en-CA"/>
        </w:rPr>
        <w:t xml:space="preserve">chool </w:t>
      </w:r>
      <w:r w:rsidR="0092749B" w:rsidRPr="00AB2735">
        <w:rPr>
          <w:rFonts w:asciiTheme="minorHAnsi" w:hAnsiTheme="minorHAnsi" w:cstheme="minorHAnsi"/>
          <w:lang w:val="en-CA"/>
        </w:rPr>
        <w:t>D</w:t>
      </w:r>
      <w:r w:rsidR="009D7FCF" w:rsidRPr="00AB2735">
        <w:rPr>
          <w:rFonts w:asciiTheme="minorHAnsi" w:hAnsiTheme="minorHAnsi" w:cstheme="minorHAnsi"/>
          <w:lang w:val="en-CA"/>
        </w:rPr>
        <w:t>istrict</w:t>
      </w:r>
      <w:r w:rsidR="0092749B" w:rsidRPr="00AB2735">
        <w:rPr>
          <w:rFonts w:asciiTheme="minorHAnsi" w:hAnsiTheme="minorHAnsi" w:cstheme="minorHAnsi"/>
          <w:lang w:val="en-CA"/>
        </w:rPr>
        <w:t xml:space="preserve"> in New Brunswick</w:t>
      </w:r>
      <w:r w:rsidR="009D7FCF" w:rsidRPr="00AB2735">
        <w:rPr>
          <w:rFonts w:asciiTheme="minorHAnsi" w:hAnsiTheme="minorHAnsi" w:cstheme="minorHAnsi"/>
          <w:lang w:val="en-CA"/>
        </w:rPr>
        <w:t xml:space="preserve">, and potentially </w:t>
      </w:r>
      <w:r w:rsidRPr="00AB2735">
        <w:rPr>
          <w:rFonts w:asciiTheme="minorHAnsi" w:hAnsiTheme="minorHAnsi" w:cstheme="minorHAnsi"/>
          <w:lang w:val="en-CA"/>
        </w:rPr>
        <w:t>across the province.</w:t>
      </w:r>
    </w:p>
    <w:p w14:paraId="0DF8A362" w14:textId="5B536D94" w:rsidR="0092749B" w:rsidRPr="00AB2735" w:rsidRDefault="0092749B" w:rsidP="001775C9">
      <w:pPr>
        <w:autoSpaceDE w:val="0"/>
        <w:autoSpaceDN w:val="0"/>
        <w:adjustRightInd w:val="0"/>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Unfortunately, the planned follow-up test scheduled for March 2020 had to be cancelled due to the </w:t>
      </w:r>
      <w:r w:rsidR="00357EAC" w:rsidRPr="00AB2735">
        <w:rPr>
          <w:rFonts w:asciiTheme="minorHAnsi" w:hAnsiTheme="minorHAnsi" w:cstheme="minorHAnsi"/>
          <w:lang w:val="en-CA"/>
        </w:rPr>
        <w:t xml:space="preserve">COVID-19 </w:t>
      </w:r>
      <w:r w:rsidRPr="00AB2735">
        <w:rPr>
          <w:rFonts w:asciiTheme="minorHAnsi" w:hAnsiTheme="minorHAnsi" w:cstheme="minorHAnsi"/>
          <w:lang w:val="en-CA"/>
        </w:rPr>
        <w:t>pandemic. This follow-up test could have supported previous findings that the Guide resource has a lasting effect on students’ knowledge and attitudes toward mental health and mental illness.</w:t>
      </w:r>
    </w:p>
    <w:p w14:paraId="451592C9" w14:textId="3237512B" w:rsidR="00265E3F" w:rsidRPr="00AB2735" w:rsidRDefault="00265E3F" w:rsidP="001775C9">
      <w:pPr>
        <w:autoSpaceDE w:val="0"/>
        <w:autoSpaceDN w:val="0"/>
        <w:adjustRightInd w:val="0"/>
        <w:spacing w:line="360" w:lineRule="auto"/>
        <w:ind w:firstLine="720"/>
        <w:rPr>
          <w:rFonts w:asciiTheme="minorHAnsi" w:hAnsiTheme="minorHAnsi" w:cstheme="minorHAnsi"/>
          <w:lang w:val="en-CA"/>
        </w:rPr>
      </w:pPr>
      <w:r w:rsidRPr="00AB2735">
        <w:rPr>
          <w:rFonts w:asciiTheme="minorHAnsi" w:eastAsia="Times New Roman" w:hAnsiTheme="minorHAnsi" w:cstheme="minorHAnsi"/>
          <w:color w:val="000000"/>
          <w:bdr w:val="none" w:sz="0" w:space="0" w:color="auto" w:frame="1"/>
          <w:lang w:val="en-CA" w:eastAsia="en-CA"/>
        </w:rPr>
        <w:t>The qualitative data</w:t>
      </w:r>
      <w:r w:rsidRPr="00AB2735">
        <w:rPr>
          <w:rFonts w:asciiTheme="minorHAnsi" w:eastAsia="Times New Roman" w:hAnsiTheme="minorHAnsi" w:cstheme="minorHAnsi"/>
          <w:color w:val="000000"/>
          <w:bdr w:val="none" w:sz="0" w:space="0" w:color="auto" w:frame="1"/>
          <w:lang w:eastAsia="en-CA"/>
        </w:rPr>
        <w:t xml:space="preserve"> seem to indicate that a lot of the students have compassion for </w:t>
      </w:r>
      <w:proofErr w:type="gramStart"/>
      <w:r w:rsidRPr="00AB2735">
        <w:rPr>
          <w:rFonts w:asciiTheme="minorHAnsi" w:eastAsia="Times New Roman" w:hAnsiTheme="minorHAnsi" w:cstheme="minorHAnsi"/>
          <w:color w:val="000000"/>
          <w:bdr w:val="none" w:sz="0" w:space="0" w:color="auto" w:frame="1"/>
          <w:lang w:eastAsia="en-CA"/>
        </w:rPr>
        <w:t>others</w:t>
      </w:r>
      <w:proofErr w:type="gramEnd"/>
      <w:r w:rsidRPr="00AB2735">
        <w:rPr>
          <w:rFonts w:asciiTheme="minorHAnsi" w:eastAsia="Times New Roman" w:hAnsiTheme="minorHAnsi" w:cstheme="minorHAnsi"/>
          <w:color w:val="000000"/>
          <w:bdr w:val="none" w:sz="0" w:space="0" w:color="auto" w:frame="1"/>
          <w:lang w:eastAsia="en-CA"/>
        </w:rPr>
        <w:t xml:space="preserve"> and they wish not to do harm to other students and adults, currently and in their future. Much of the stigma and negative connotation surrounding mental illnesses can come from a </w:t>
      </w:r>
      <w:r w:rsidRPr="00AB2735">
        <w:rPr>
          <w:rFonts w:asciiTheme="minorHAnsi" w:eastAsia="Times New Roman" w:hAnsiTheme="minorHAnsi" w:cstheme="minorHAnsi"/>
          <w:color w:val="000000"/>
          <w:bdr w:val="none" w:sz="0" w:space="0" w:color="auto" w:frame="1"/>
          <w:lang w:eastAsia="en-CA"/>
        </w:rPr>
        <w:lastRenderedPageBreak/>
        <w:t xml:space="preserve">lack of education on the topic and compassion of other people’s experiences in life. An interesting aspect to add to future study would be to see if students’ level of compassion for others increases due to exposure to this mental health literacy resource, and whether stigma is linked to compassion. In addition, the fact that </w:t>
      </w:r>
      <w:r w:rsidR="005E1FFC" w:rsidRPr="00AB2735">
        <w:rPr>
          <w:rFonts w:asciiTheme="minorHAnsi" w:eastAsia="Times New Roman" w:hAnsiTheme="minorHAnsi" w:cstheme="minorHAnsi"/>
          <w:color w:val="000000"/>
          <w:bdr w:val="none" w:sz="0" w:space="0" w:color="auto" w:frame="1"/>
          <w:lang w:eastAsia="en-CA"/>
        </w:rPr>
        <w:t xml:space="preserve">many </w:t>
      </w:r>
      <w:r w:rsidRPr="00AB2735">
        <w:rPr>
          <w:rFonts w:asciiTheme="minorHAnsi" w:eastAsia="Times New Roman" w:hAnsiTheme="minorHAnsi" w:cstheme="minorHAnsi"/>
          <w:color w:val="000000"/>
          <w:bdr w:val="none" w:sz="0" w:space="0" w:color="auto" w:frame="1"/>
          <w:lang w:eastAsia="en-CA"/>
        </w:rPr>
        <w:t xml:space="preserve">students enjoyed learning about specific mental disorders </w:t>
      </w:r>
      <w:r w:rsidR="005E1FFC" w:rsidRPr="00AB2735">
        <w:rPr>
          <w:rFonts w:asciiTheme="minorHAnsi" w:eastAsia="Times New Roman" w:hAnsiTheme="minorHAnsi" w:cstheme="minorHAnsi"/>
          <w:color w:val="000000"/>
          <w:bdr w:val="none" w:sz="0" w:space="0" w:color="auto" w:frame="1"/>
          <w:lang w:eastAsia="en-CA"/>
        </w:rPr>
        <w:t xml:space="preserve">argued against previous perspective that </w:t>
      </w:r>
      <w:r w:rsidR="00B6167A" w:rsidRPr="00AB2735">
        <w:rPr>
          <w:rFonts w:asciiTheme="minorHAnsi" w:eastAsia="Times New Roman" w:hAnsiTheme="minorHAnsi" w:cstheme="minorHAnsi"/>
          <w:color w:val="000000"/>
          <w:bdr w:val="none" w:sz="0" w:space="0" w:color="auto" w:frame="1"/>
          <w:lang w:eastAsia="en-CA"/>
        </w:rPr>
        <w:t xml:space="preserve">such </w:t>
      </w:r>
      <w:r w:rsidR="005E1FFC" w:rsidRPr="00AB2735">
        <w:rPr>
          <w:rFonts w:asciiTheme="minorHAnsi" w:eastAsia="Times New Roman" w:hAnsiTheme="minorHAnsi" w:cstheme="minorHAnsi"/>
          <w:color w:val="000000"/>
          <w:bdr w:val="none" w:sz="0" w:space="0" w:color="auto" w:frame="1"/>
          <w:lang w:eastAsia="en-CA"/>
        </w:rPr>
        <w:t>education about mental</w:t>
      </w:r>
      <w:r w:rsidR="00B6167A" w:rsidRPr="00AB2735">
        <w:rPr>
          <w:rFonts w:asciiTheme="minorHAnsi" w:eastAsia="Times New Roman" w:hAnsiTheme="minorHAnsi" w:cstheme="minorHAnsi"/>
          <w:color w:val="000000"/>
          <w:bdr w:val="none" w:sz="0" w:space="0" w:color="auto" w:frame="1"/>
          <w:lang w:eastAsia="en-CA"/>
        </w:rPr>
        <w:t xml:space="preserve"> disorders</w:t>
      </w:r>
      <w:r w:rsidR="0073134B" w:rsidRPr="00AB2735">
        <w:rPr>
          <w:rFonts w:asciiTheme="minorHAnsi" w:eastAsia="Times New Roman" w:hAnsiTheme="minorHAnsi" w:cstheme="minorHAnsi"/>
          <w:color w:val="000000"/>
          <w:bdr w:val="none" w:sz="0" w:space="0" w:color="auto" w:frame="1"/>
          <w:lang w:eastAsia="en-CA"/>
        </w:rPr>
        <w:t xml:space="preserve"> will</w:t>
      </w:r>
      <w:r w:rsidR="00120723" w:rsidRPr="00AB2735">
        <w:rPr>
          <w:rFonts w:asciiTheme="minorHAnsi" w:eastAsia="Times New Roman" w:hAnsiTheme="minorHAnsi" w:cstheme="minorHAnsi"/>
          <w:color w:val="000000"/>
          <w:bdr w:val="none" w:sz="0" w:space="0" w:color="auto" w:frame="1"/>
          <w:lang w:eastAsia="en-CA"/>
        </w:rPr>
        <w:t xml:space="preserve"> aggravate</w:t>
      </w:r>
      <w:r w:rsidR="0073134B" w:rsidRPr="00AB2735">
        <w:rPr>
          <w:rFonts w:asciiTheme="minorHAnsi" w:eastAsia="Times New Roman" w:hAnsiTheme="minorHAnsi" w:cstheme="minorHAnsi"/>
          <w:color w:val="000000"/>
          <w:bdr w:val="none" w:sz="0" w:space="0" w:color="auto" w:frame="1"/>
          <w:lang w:eastAsia="en-CA"/>
        </w:rPr>
        <w:t xml:space="preserve"> the </w:t>
      </w:r>
      <w:r w:rsidR="00120723" w:rsidRPr="00AB2735">
        <w:rPr>
          <w:rFonts w:asciiTheme="minorHAnsi" w:eastAsia="Times New Roman" w:hAnsiTheme="minorHAnsi" w:cstheme="minorHAnsi"/>
          <w:color w:val="000000"/>
          <w:bdr w:val="none" w:sz="0" w:space="0" w:color="auto" w:frame="1"/>
          <w:lang w:eastAsia="en-CA"/>
        </w:rPr>
        <w:t xml:space="preserve">effect of </w:t>
      </w:r>
      <w:r w:rsidR="0073134B" w:rsidRPr="00AB2735">
        <w:rPr>
          <w:rFonts w:asciiTheme="minorHAnsi" w:eastAsia="Times New Roman" w:hAnsiTheme="minorHAnsi" w:cstheme="minorHAnsi"/>
          <w:color w:val="000000"/>
          <w:bdr w:val="none" w:sz="0" w:space="0" w:color="auto" w:frame="1"/>
          <w:lang w:eastAsia="en-CA"/>
        </w:rPr>
        <w:t>stigma against mental illness</w:t>
      </w:r>
      <w:r w:rsidR="00120723" w:rsidRPr="00AB2735">
        <w:rPr>
          <w:rFonts w:asciiTheme="minorHAnsi" w:eastAsia="Times New Roman" w:hAnsiTheme="minorHAnsi" w:cstheme="minorHAnsi"/>
          <w:color w:val="000000"/>
          <w:bdr w:val="none" w:sz="0" w:space="0" w:color="auto" w:frame="1"/>
          <w:lang w:eastAsia="en-CA"/>
        </w:rPr>
        <w:t xml:space="preserve"> (</w:t>
      </w:r>
      <w:proofErr w:type="spellStart"/>
      <w:r w:rsidR="00120723" w:rsidRPr="00AB2735">
        <w:rPr>
          <w:rFonts w:asciiTheme="minorHAnsi" w:eastAsia="Times New Roman" w:hAnsiTheme="minorHAnsi" w:cstheme="minorHAnsi"/>
          <w:color w:val="000000"/>
          <w:bdr w:val="none" w:sz="0" w:space="0" w:color="auto" w:frame="1"/>
          <w:lang w:eastAsia="en-CA"/>
        </w:rPr>
        <w:t>Pescosolido</w:t>
      </w:r>
      <w:proofErr w:type="spellEnd"/>
      <w:r w:rsidR="00120723" w:rsidRPr="00AB2735">
        <w:rPr>
          <w:rFonts w:asciiTheme="minorHAnsi" w:eastAsia="Times New Roman" w:hAnsiTheme="minorHAnsi" w:cstheme="minorHAnsi"/>
          <w:color w:val="000000"/>
          <w:bdr w:val="none" w:sz="0" w:space="0" w:color="auto" w:frame="1"/>
          <w:lang w:eastAsia="en-CA"/>
        </w:rPr>
        <w:t>, 2016)</w:t>
      </w:r>
      <w:r w:rsidR="0073134B" w:rsidRPr="00AB2735">
        <w:rPr>
          <w:rFonts w:asciiTheme="minorHAnsi" w:eastAsia="Times New Roman" w:hAnsiTheme="minorHAnsi" w:cstheme="minorHAnsi"/>
          <w:color w:val="000000"/>
          <w:bdr w:val="none" w:sz="0" w:space="0" w:color="auto" w:frame="1"/>
          <w:lang w:eastAsia="en-CA"/>
        </w:rPr>
        <w:t xml:space="preserve">. This may be because young people are more </w:t>
      </w:r>
      <w:r w:rsidR="00E92755" w:rsidRPr="00AB2735">
        <w:rPr>
          <w:rFonts w:asciiTheme="minorHAnsi" w:eastAsia="Times New Roman" w:hAnsiTheme="minorHAnsi" w:cstheme="minorHAnsi"/>
          <w:color w:val="000000"/>
          <w:bdr w:val="none" w:sz="0" w:space="0" w:color="auto" w:frame="1"/>
          <w:lang w:eastAsia="en-CA"/>
        </w:rPr>
        <w:t>prone to learn</w:t>
      </w:r>
      <w:r w:rsidR="0073134B" w:rsidRPr="00AB2735">
        <w:rPr>
          <w:rFonts w:asciiTheme="minorHAnsi" w:eastAsia="Times New Roman" w:hAnsiTheme="minorHAnsi" w:cstheme="minorHAnsi"/>
          <w:color w:val="000000"/>
          <w:bdr w:val="none" w:sz="0" w:space="0" w:color="auto" w:frame="1"/>
          <w:lang w:eastAsia="en-CA"/>
        </w:rPr>
        <w:t xml:space="preserve"> new information and </w:t>
      </w:r>
      <w:r w:rsidR="00E92755" w:rsidRPr="00AB2735">
        <w:rPr>
          <w:rFonts w:asciiTheme="minorHAnsi" w:eastAsia="Times New Roman" w:hAnsiTheme="minorHAnsi" w:cstheme="minorHAnsi"/>
          <w:color w:val="000000"/>
          <w:bdr w:val="none" w:sz="0" w:space="0" w:color="auto" w:frame="1"/>
          <w:lang w:eastAsia="en-CA"/>
        </w:rPr>
        <w:t xml:space="preserve">form positive attitudes towards </w:t>
      </w:r>
      <w:r w:rsidR="00B6167A" w:rsidRPr="00AB2735">
        <w:rPr>
          <w:rFonts w:asciiTheme="minorHAnsi" w:eastAsia="Times New Roman" w:hAnsiTheme="minorHAnsi" w:cstheme="minorHAnsi"/>
          <w:color w:val="000000"/>
          <w:bdr w:val="none" w:sz="0" w:space="0" w:color="auto" w:frame="1"/>
          <w:lang w:eastAsia="en-CA"/>
        </w:rPr>
        <w:t>mental health</w:t>
      </w:r>
      <w:r w:rsidR="00E92755" w:rsidRPr="00AB2735">
        <w:rPr>
          <w:rFonts w:asciiTheme="minorHAnsi" w:eastAsia="Times New Roman" w:hAnsiTheme="minorHAnsi" w:cstheme="minorHAnsi"/>
          <w:color w:val="000000"/>
          <w:bdr w:val="none" w:sz="0" w:space="0" w:color="auto" w:frame="1"/>
          <w:lang w:eastAsia="en-CA"/>
        </w:rPr>
        <w:t xml:space="preserve">. </w:t>
      </w:r>
      <w:r w:rsidR="00B6167A" w:rsidRPr="00AB2735">
        <w:rPr>
          <w:rFonts w:asciiTheme="minorHAnsi" w:eastAsia="Times New Roman" w:hAnsiTheme="minorHAnsi" w:cstheme="minorHAnsi"/>
          <w:color w:val="000000"/>
          <w:bdr w:val="none" w:sz="0" w:space="0" w:color="auto" w:frame="1"/>
          <w:lang w:eastAsia="en-CA"/>
        </w:rPr>
        <w:t>This represent</w:t>
      </w:r>
      <w:r w:rsidR="0016596F" w:rsidRPr="00AB2735">
        <w:rPr>
          <w:rFonts w:asciiTheme="minorHAnsi" w:eastAsia="Times New Roman" w:hAnsiTheme="minorHAnsi" w:cstheme="minorHAnsi"/>
          <w:color w:val="000000"/>
          <w:bdr w:val="none" w:sz="0" w:space="0" w:color="auto" w:frame="1"/>
          <w:lang w:eastAsia="en-CA"/>
        </w:rPr>
        <w:t>s</w:t>
      </w:r>
      <w:r w:rsidR="00B6167A" w:rsidRPr="00AB2735">
        <w:rPr>
          <w:rFonts w:asciiTheme="minorHAnsi" w:eastAsia="Times New Roman" w:hAnsiTheme="minorHAnsi" w:cstheme="minorHAnsi"/>
          <w:color w:val="000000"/>
          <w:bdr w:val="none" w:sz="0" w:space="0" w:color="auto" w:frame="1"/>
          <w:lang w:eastAsia="en-CA"/>
        </w:rPr>
        <w:t xml:space="preserve"> a new opportunity for researchers and practitioners in this area. </w:t>
      </w:r>
    </w:p>
    <w:p w14:paraId="27E59D41" w14:textId="79FAA499" w:rsidR="00A66CE9" w:rsidRPr="00AB2735" w:rsidRDefault="00006BEB" w:rsidP="00D14FEA">
      <w:pPr>
        <w:autoSpaceDE w:val="0"/>
        <w:autoSpaceDN w:val="0"/>
        <w:adjustRightInd w:val="0"/>
        <w:spacing w:line="360" w:lineRule="auto"/>
        <w:ind w:firstLine="720"/>
        <w:rPr>
          <w:rFonts w:asciiTheme="minorHAnsi" w:hAnsiTheme="minorHAnsi" w:cstheme="minorHAnsi"/>
          <w:lang w:val="en-CA"/>
        </w:rPr>
      </w:pPr>
      <w:r w:rsidRPr="00AB2735">
        <w:rPr>
          <w:rFonts w:asciiTheme="minorHAnsi" w:hAnsiTheme="minorHAnsi" w:cstheme="minorHAnsi"/>
          <w:lang w:val="en-CA"/>
        </w:rPr>
        <w:t xml:space="preserve">The results presented </w:t>
      </w:r>
      <w:r w:rsidR="00AC60A1" w:rsidRPr="00AB2735">
        <w:rPr>
          <w:rFonts w:asciiTheme="minorHAnsi" w:hAnsiTheme="minorHAnsi" w:cstheme="minorHAnsi"/>
          <w:lang w:val="en-CA"/>
        </w:rPr>
        <w:t xml:space="preserve">in this report </w:t>
      </w:r>
      <w:r w:rsidRPr="00AB2735">
        <w:rPr>
          <w:rFonts w:asciiTheme="minorHAnsi" w:hAnsiTheme="minorHAnsi" w:cstheme="minorHAnsi"/>
          <w:lang w:val="en-CA"/>
        </w:rPr>
        <w:t>suggest that the appl</w:t>
      </w:r>
      <w:r w:rsidR="00AC4F70" w:rsidRPr="00AB2735">
        <w:rPr>
          <w:rFonts w:asciiTheme="minorHAnsi" w:hAnsiTheme="minorHAnsi" w:cstheme="minorHAnsi"/>
          <w:lang w:val="en-CA"/>
        </w:rPr>
        <w:t>ication of this intervention</w:t>
      </w:r>
      <w:r w:rsidR="0015381C" w:rsidRPr="00AB2735">
        <w:rPr>
          <w:rFonts w:asciiTheme="minorHAnsi" w:hAnsiTheme="minorHAnsi" w:cstheme="minorHAnsi"/>
          <w:lang w:val="en-CA"/>
        </w:rPr>
        <w:t xml:space="preserve"> </w:t>
      </w:r>
      <w:r w:rsidR="0092749B" w:rsidRPr="00AB2735">
        <w:rPr>
          <w:rFonts w:asciiTheme="minorHAnsi" w:hAnsiTheme="minorHAnsi" w:cstheme="minorHAnsi"/>
          <w:lang w:val="en-CA"/>
        </w:rPr>
        <w:t xml:space="preserve">(the </w:t>
      </w:r>
      <w:r w:rsidR="0015381C" w:rsidRPr="00AB2735">
        <w:rPr>
          <w:rFonts w:asciiTheme="minorHAnsi" w:hAnsiTheme="minorHAnsi" w:cstheme="minorHAnsi"/>
          <w:lang w:val="en-CA"/>
        </w:rPr>
        <w:t xml:space="preserve">Mental Health &amp; High School Curriculum Guide </w:t>
      </w:r>
      <w:r w:rsidR="0092749B" w:rsidRPr="00AB2735">
        <w:rPr>
          <w:rFonts w:asciiTheme="minorHAnsi" w:hAnsiTheme="minorHAnsi" w:cstheme="minorHAnsi"/>
          <w:lang w:val="en-CA"/>
        </w:rPr>
        <w:t>resource)</w:t>
      </w:r>
      <w:r w:rsidR="00AC4F70" w:rsidRPr="00AB2735">
        <w:rPr>
          <w:rFonts w:asciiTheme="minorHAnsi" w:hAnsiTheme="minorHAnsi" w:cstheme="minorHAnsi"/>
          <w:lang w:val="en-CA"/>
        </w:rPr>
        <w:t xml:space="preserve"> would</w:t>
      </w:r>
      <w:r w:rsidRPr="00AB2735">
        <w:rPr>
          <w:rFonts w:asciiTheme="minorHAnsi" w:hAnsiTheme="minorHAnsi" w:cstheme="minorHAnsi"/>
          <w:lang w:val="en-CA"/>
        </w:rPr>
        <w:t xml:space="preserve"> be a useful and important component to school mental health education in </w:t>
      </w:r>
      <w:r w:rsidR="005B4370" w:rsidRPr="00AB2735">
        <w:rPr>
          <w:rFonts w:asciiTheme="minorHAnsi" w:hAnsiTheme="minorHAnsi" w:cstheme="minorHAnsi"/>
          <w:lang w:val="en-CA"/>
        </w:rPr>
        <w:t>the Anglophone North School District</w:t>
      </w:r>
      <w:r w:rsidR="00AC4F70" w:rsidRPr="00AB2735">
        <w:rPr>
          <w:rFonts w:asciiTheme="minorHAnsi" w:hAnsiTheme="minorHAnsi" w:cstheme="minorHAnsi"/>
          <w:lang w:val="en-CA"/>
        </w:rPr>
        <w:t>, as well as</w:t>
      </w:r>
      <w:r w:rsidRPr="00AB2735">
        <w:rPr>
          <w:rFonts w:asciiTheme="minorHAnsi" w:hAnsiTheme="minorHAnsi" w:cstheme="minorHAnsi"/>
          <w:lang w:val="en-CA"/>
        </w:rPr>
        <w:t xml:space="preserve"> the province of </w:t>
      </w:r>
      <w:r w:rsidR="005B4370" w:rsidRPr="00AB2735">
        <w:rPr>
          <w:rFonts w:asciiTheme="minorHAnsi" w:hAnsiTheme="minorHAnsi" w:cstheme="minorHAnsi"/>
          <w:lang w:val="en-CA"/>
        </w:rPr>
        <w:t>New Brunswick</w:t>
      </w:r>
      <w:r w:rsidRPr="00AB2735">
        <w:rPr>
          <w:rFonts w:asciiTheme="minorHAnsi" w:hAnsiTheme="minorHAnsi" w:cstheme="minorHAnsi"/>
          <w:lang w:val="en-CA"/>
        </w:rPr>
        <w:t>.</w:t>
      </w:r>
      <w:r w:rsidR="00C10521" w:rsidRPr="00AB2735">
        <w:rPr>
          <w:rFonts w:asciiTheme="minorHAnsi" w:hAnsiTheme="minorHAnsi" w:cstheme="minorHAnsi"/>
          <w:lang w:val="en-CA"/>
        </w:rPr>
        <w:t xml:space="preserve"> Thus, providing a</w:t>
      </w:r>
      <w:r w:rsidR="005B4370" w:rsidRPr="00AB2735">
        <w:rPr>
          <w:rFonts w:asciiTheme="minorHAnsi" w:hAnsiTheme="minorHAnsi" w:cstheme="minorHAnsi"/>
          <w:lang w:val="en-CA"/>
        </w:rPr>
        <w:t xml:space="preserve">n </w:t>
      </w:r>
      <w:r w:rsidR="00C10521" w:rsidRPr="00AB2735">
        <w:rPr>
          <w:rFonts w:asciiTheme="minorHAnsi" w:hAnsiTheme="minorHAnsi" w:cstheme="minorHAnsi"/>
          <w:lang w:val="en-CA"/>
        </w:rPr>
        <w:t>effective approach to mental health literacy</w:t>
      </w:r>
      <w:r w:rsidR="0015381C" w:rsidRPr="00AB2735">
        <w:rPr>
          <w:rFonts w:asciiTheme="minorHAnsi" w:hAnsiTheme="minorHAnsi" w:cstheme="minorHAnsi"/>
          <w:lang w:val="en-CA"/>
        </w:rPr>
        <w:t xml:space="preserve"> in </w:t>
      </w:r>
      <w:r w:rsidR="005B4370" w:rsidRPr="00AB2735">
        <w:rPr>
          <w:rFonts w:asciiTheme="minorHAnsi" w:hAnsiTheme="minorHAnsi" w:cstheme="minorHAnsi"/>
          <w:lang w:val="en-CA"/>
        </w:rPr>
        <w:t>New Brunswick</w:t>
      </w:r>
      <w:r w:rsidR="0015381C" w:rsidRPr="00AB2735">
        <w:rPr>
          <w:rFonts w:asciiTheme="minorHAnsi" w:hAnsiTheme="minorHAnsi" w:cstheme="minorHAnsi"/>
          <w:lang w:val="en-CA"/>
        </w:rPr>
        <w:t xml:space="preserve"> schools has the potential to benefit students</w:t>
      </w:r>
      <w:r w:rsidR="005B4370" w:rsidRPr="00AB2735">
        <w:rPr>
          <w:rFonts w:asciiTheme="minorHAnsi" w:hAnsiTheme="minorHAnsi" w:cstheme="minorHAnsi"/>
          <w:lang w:val="en-CA"/>
        </w:rPr>
        <w:t xml:space="preserve"> </w:t>
      </w:r>
      <w:r w:rsidR="0015381C" w:rsidRPr="00AB2735">
        <w:rPr>
          <w:rFonts w:asciiTheme="minorHAnsi" w:hAnsiTheme="minorHAnsi" w:cstheme="minorHAnsi"/>
          <w:lang w:val="en-CA"/>
        </w:rPr>
        <w:t>and enhance the link</w:t>
      </w:r>
      <w:r w:rsidR="005B4370" w:rsidRPr="00AB2735">
        <w:rPr>
          <w:rFonts w:asciiTheme="minorHAnsi" w:hAnsiTheme="minorHAnsi" w:cstheme="minorHAnsi"/>
          <w:lang w:val="en-CA"/>
        </w:rPr>
        <w:t xml:space="preserve"> </w:t>
      </w:r>
      <w:r w:rsidR="0015381C" w:rsidRPr="00AB2735">
        <w:rPr>
          <w:rFonts w:asciiTheme="minorHAnsi" w:hAnsiTheme="minorHAnsi" w:cstheme="minorHAnsi"/>
          <w:lang w:val="en-CA"/>
        </w:rPr>
        <w:t>between education and health to address student mental health needs, using evidence</w:t>
      </w:r>
      <w:r w:rsidR="005B4370" w:rsidRPr="00AB2735">
        <w:rPr>
          <w:rFonts w:asciiTheme="minorHAnsi" w:hAnsiTheme="minorHAnsi" w:cstheme="minorHAnsi"/>
          <w:lang w:val="en-CA"/>
        </w:rPr>
        <w:t>-</w:t>
      </w:r>
      <w:r w:rsidR="0015381C" w:rsidRPr="00AB2735">
        <w:rPr>
          <w:rFonts w:asciiTheme="minorHAnsi" w:hAnsiTheme="minorHAnsi" w:cstheme="minorHAnsi"/>
          <w:lang w:val="en-CA"/>
        </w:rPr>
        <w:t>based approach</w:t>
      </w:r>
      <w:r w:rsidR="00BE6817" w:rsidRPr="00AB2735">
        <w:rPr>
          <w:rFonts w:asciiTheme="minorHAnsi" w:hAnsiTheme="minorHAnsi" w:cstheme="minorHAnsi"/>
          <w:lang w:val="en-CA"/>
        </w:rPr>
        <w:t>es</w:t>
      </w:r>
      <w:r w:rsidR="0015381C" w:rsidRPr="00AB2735">
        <w:rPr>
          <w:rFonts w:asciiTheme="minorHAnsi" w:hAnsiTheme="minorHAnsi" w:cstheme="minorHAnsi"/>
          <w:lang w:val="en-CA"/>
        </w:rPr>
        <w:t xml:space="preserve"> in a systematic and collaborative manner</w:t>
      </w:r>
      <w:r w:rsidR="00C10521" w:rsidRPr="00AB2735">
        <w:rPr>
          <w:rFonts w:asciiTheme="minorHAnsi" w:hAnsiTheme="minorHAnsi" w:cstheme="minorHAnsi"/>
          <w:lang w:val="en-CA"/>
        </w:rPr>
        <w:t>.</w:t>
      </w:r>
    </w:p>
    <w:p w14:paraId="1A16AFA0" w14:textId="77777777" w:rsidR="001775C9" w:rsidRPr="00AB2735" w:rsidRDefault="001775C9" w:rsidP="00006BEB">
      <w:pPr>
        <w:spacing w:line="360" w:lineRule="auto"/>
        <w:jc w:val="center"/>
        <w:rPr>
          <w:rFonts w:asciiTheme="minorHAnsi" w:hAnsiTheme="minorHAnsi" w:cstheme="minorHAnsi"/>
          <w:b/>
          <w:color w:val="800080"/>
          <w:lang w:val="en-CA"/>
        </w:rPr>
      </w:pPr>
      <w:r w:rsidRPr="00AB2735">
        <w:rPr>
          <w:rFonts w:asciiTheme="minorHAnsi" w:hAnsiTheme="minorHAnsi" w:cstheme="minorHAnsi"/>
          <w:b/>
          <w:color w:val="800080"/>
          <w:lang w:val="en-CA"/>
        </w:rPr>
        <w:t>References</w:t>
      </w:r>
    </w:p>
    <w:p w14:paraId="735C3A61" w14:textId="77777777" w:rsidR="001775C9" w:rsidRPr="00AB2735" w:rsidRDefault="001775C9" w:rsidP="001775C9">
      <w:pPr>
        <w:spacing w:line="360" w:lineRule="auto"/>
        <w:ind w:left="360" w:hanging="360"/>
        <w:rPr>
          <w:rFonts w:asciiTheme="minorHAnsi" w:hAnsiTheme="minorHAnsi" w:cstheme="minorHAnsi"/>
          <w:lang w:val="en-CA"/>
        </w:rPr>
      </w:pPr>
      <w:r w:rsidRPr="00AB2735">
        <w:rPr>
          <w:rFonts w:asciiTheme="minorHAnsi" w:hAnsiTheme="minorHAnsi" w:cstheme="minorHAnsi"/>
          <w:lang w:val="en-CA"/>
        </w:rPr>
        <w:t xml:space="preserve">Kutcher, S., </w:t>
      </w:r>
      <w:proofErr w:type="spellStart"/>
      <w:r w:rsidRPr="00AB2735">
        <w:rPr>
          <w:rFonts w:asciiTheme="minorHAnsi" w:hAnsiTheme="minorHAnsi" w:cstheme="minorHAnsi"/>
          <w:lang w:val="en-CA"/>
        </w:rPr>
        <w:t>Bagnell</w:t>
      </w:r>
      <w:proofErr w:type="spellEnd"/>
      <w:r w:rsidRPr="00AB2735">
        <w:rPr>
          <w:rFonts w:asciiTheme="minorHAnsi" w:hAnsiTheme="minorHAnsi" w:cstheme="minorHAnsi"/>
          <w:lang w:val="en-CA"/>
        </w:rPr>
        <w:t xml:space="preserve">, A. &amp; Wei, Y. (2015). Mental health literacy in secondary schools: A Canadian Approach. </w:t>
      </w:r>
      <w:r w:rsidRPr="00AB2735">
        <w:rPr>
          <w:rFonts w:asciiTheme="minorHAnsi" w:hAnsiTheme="minorHAnsi" w:cstheme="minorHAnsi"/>
          <w:i/>
          <w:lang w:val="en-CA"/>
        </w:rPr>
        <w:t>Child and Adolescent Psychiatric Clinics of North America</w:t>
      </w:r>
      <w:r w:rsidRPr="00AB2735">
        <w:rPr>
          <w:rFonts w:asciiTheme="minorHAnsi" w:hAnsiTheme="minorHAnsi" w:cstheme="minorHAnsi"/>
          <w:lang w:val="en-CA"/>
        </w:rPr>
        <w:t>, 24(2), 233-244. Doi: 10.1016/j.chc.2014.11.007</w:t>
      </w:r>
    </w:p>
    <w:p w14:paraId="3438905A" w14:textId="77777777" w:rsidR="001775C9" w:rsidRPr="00AB2735" w:rsidRDefault="001775C9" w:rsidP="001775C9">
      <w:pPr>
        <w:tabs>
          <w:tab w:val="left" w:pos="450"/>
        </w:tabs>
        <w:spacing w:line="360" w:lineRule="auto"/>
        <w:ind w:left="360" w:hanging="360"/>
        <w:rPr>
          <w:rFonts w:asciiTheme="minorHAnsi" w:hAnsiTheme="minorHAnsi" w:cstheme="minorHAnsi"/>
          <w:lang w:val="en-CA"/>
        </w:rPr>
      </w:pPr>
      <w:r w:rsidRPr="00AB2735">
        <w:rPr>
          <w:rFonts w:asciiTheme="minorHAnsi" w:hAnsiTheme="minorHAnsi" w:cstheme="minorHAnsi"/>
          <w:lang w:val="en-CA"/>
        </w:rPr>
        <w:t xml:space="preserve">Kutcher, S., &amp; Wei, Y. (2013). Challenges and solutions in the implementation of the school-based pathway to care model: the lessons from Nova Scotia and beyond. Canadian. </w:t>
      </w:r>
      <w:r w:rsidRPr="00AB2735">
        <w:rPr>
          <w:rFonts w:asciiTheme="minorHAnsi" w:hAnsiTheme="minorHAnsi" w:cstheme="minorHAnsi"/>
          <w:i/>
          <w:lang w:val="en-CA"/>
        </w:rPr>
        <w:t xml:space="preserve">Journal of School Psychology </w:t>
      </w:r>
      <w:r w:rsidRPr="00AB2735">
        <w:rPr>
          <w:rFonts w:asciiTheme="minorHAnsi" w:hAnsiTheme="minorHAnsi" w:cstheme="minorHAnsi"/>
          <w:lang w:val="en-CA"/>
        </w:rPr>
        <w:t>28, 90–102.</w:t>
      </w:r>
    </w:p>
    <w:p w14:paraId="7906A2EF" w14:textId="77777777" w:rsidR="001775C9" w:rsidRPr="00AB2735" w:rsidRDefault="001775C9" w:rsidP="001775C9">
      <w:pPr>
        <w:tabs>
          <w:tab w:val="left" w:pos="450"/>
        </w:tabs>
        <w:spacing w:line="360" w:lineRule="auto"/>
        <w:ind w:left="360" w:hanging="360"/>
        <w:rPr>
          <w:rFonts w:asciiTheme="minorHAnsi" w:hAnsiTheme="minorHAnsi" w:cstheme="minorHAnsi"/>
          <w:lang w:val="en-CA"/>
        </w:rPr>
      </w:pPr>
      <w:r w:rsidRPr="00AB2735">
        <w:rPr>
          <w:rFonts w:asciiTheme="minorHAnsi" w:hAnsiTheme="minorHAnsi" w:cstheme="minorHAnsi"/>
          <w:lang w:val="en-CA"/>
        </w:rPr>
        <w:t xml:space="preserve">Kutcher, S. &amp; Wei, Y. (2014). School mental health literacy: A national curriculum guide shows promising results. </w:t>
      </w:r>
      <w:r w:rsidRPr="00AB2735">
        <w:rPr>
          <w:rFonts w:asciiTheme="minorHAnsi" w:hAnsiTheme="minorHAnsi" w:cstheme="minorHAnsi"/>
          <w:i/>
          <w:lang w:val="en-CA"/>
        </w:rPr>
        <w:t>Education Canada</w:t>
      </w:r>
      <w:r w:rsidRPr="00AB2735">
        <w:rPr>
          <w:rFonts w:asciiTheme="minorHAnsi" w:hAnsiTheme="minorHAnsi" w:cstheme="minorHAnsi"/>
          <w:lang w:val="en-CA"/>
        </w:rPr>
        <w:t xml:space="preserve">, 54, 22-26. </w:t>
      </w:r>
      <w:hyperlink r:id="rId14" w:history="1">
        <w:r w:rsidRPr="00AB2735">
          <w:rPr>
            <w:rStyle w:val="Hyperlink"/>
            <w:rFonts w:asciiTheme="minorHAnsi" w:hAnsiTheme="minorHAnsi" w:cstheme="minorHAnsi"/>
            <w:lang w:val="en-CA"/>
          </w:rPr>
          <w:t>http://www.cea-ace.ca/education-canada/article/school-mental-health-literacy</w:t>
        </w:r>
      </w:hyperlink>
    </w:p>
    <w:p w14:paraId="0EA5ADA7" w14:textId="77777777" w:rsidR="001775C9" w:rsidRPr="00AB2735" w:rsidRDefault="001775C9" w:rsidP="001775C9">
      <w:pPr>
        <w:tabs>
          <w:tab w:val="left" w:pos="450"/>
        </w:tabs>
        <w:spacing w:line="360" w:lineRule="auto"/>
        <w:ind w:left="360" w:hanging="360"/>
        <w:rPr>
          <w:rFonts w:asciiTheme="minorHAnsi" w:hAnsiTheme="minorHAnsi" w:cstheme="minorHAnsi"/>
          <w:lang w:val="en-GB"/>
        </w:rPr>
      </w:pPr>
      <w:r w:rsidRPr="00AB2735">
        <w:rPr>
          <w:rFonts w:asciiTheme="minorHAnsi" w:hAnsiTheme="minorHAnsi" w:cstheme="minorHAnsi"/>
          <w:lang w:val="en-GB"/>
        </w:rPr>
        <w:t xml:space="preserve">Kutcher, S., Wei, Y., </w:t>
      </w:r>
      <w:proofErr w:type="spellStart"/>
      <w:r w:rsidRPr="00AB2735">
        <w:rPr>
          <w:rFonts w:asciiTheme="minorHAnsi" w:hAnsiTheme="minorHAnsi" w:cstheme="minorHAnsi"/>
          <w:lang w:val="en-GB"/>
        </w:rPr>
        <w:t>Gilberds</w:t>
      </w:r>
      <w:proofErr w:type="spellEnd"/>
      <w:r w:rsidRPr="00AB2735">
        <w:rPr>
          <w:rFonts w:asciiTheme="minorHAnsi" w:hAnsiTheme="minorHAnsi" w:cstheme="minorHAnsi"/>
          <w:lang w:val="en-GB"/>
        </w:rPr>
        <w:t xml:space="preserve">, H., Brown, A., </w:t>
      </w:r>
      <w:proofErr w:type="spellStart"/>
      <w:r w:rsidRPr="00AB2735">
        <w:rPr>
          <w:rFonts w:asciiTheme="minorHAnsi" w:hAnsiTheme="minorHAnsi" w:cstheme="minorHAnsi"/>
          <w:lang w:val="en-GB"/>
        </w:rPr>
        <w:t>Ubuguyu</w:t>
      </w:r>
      <w:proofErr w:type="spellEnd"/>
      <w:r w:rsidRPr="00AB2735">
        <w:rPr>
          <w:rFonts w:asciiTheme="minorHAnsi" w:hAnsiTheme="minorHAnsi" w:cstheme="minorHAnsi"/>
          <w:lang w:val="en-GB"/>
        </w:rPr>
        <w:t xml:space="preserve">, O., </w:t>
      </w:r>
      <w:proofErr w:type="spellStart"/>
      <w:r w:rsidRPr="00AB2735">
        <w:rPr>
          <w:rFonts w:asciiTheme="minorHAnsi" w:hAnsiTheme="minorHAnsi" w:cstheme="minorHAnsi"/>
          <w:lang w:val="en-GB"/>
        </w:rPr>
        <w:t>Njau</w:t>
      </w:r>
      <w:proofErr w:type="spellEnd"/>
      <w:r w:rsidRPr="00AB2735">
        <w:rPr>
          <w:rFonts w:asciiTheme="minorHAnsi" w:hAnsiTheme="minorHAnsi" w:cstheme="minorHAnsi"/>
          <w:lang w:val="en-GB"/>
        </w:rPr>
        <w:t xml:space="preserve">, T., </w:t>
      </w:r>
      <w:proofErr w:type="spellStart"/>
      <w:r w:rsidRPr="00AB2735">
        <w:rPr>
          <w:rFonts w:asciiTheme="minorHAnsi" w:hAnsiTheme="minorHAnsi" w:cstheme="minorHAnsi"/>
          <w:lang w:val="en-GB"/>
        </w:rPr>
        <w:t>Sabuni</w:t>
      </w:r>
      <w:proofErr w:type="spellEnd"/>
      <w:r w:rsidRPr="00AB2735">
        <w:rPr>
          <w:rFonts w:asciiTheme="minorHAnsi" w:hAnsiTheme="minorHAnsi" w:cstheme="minorHAnsi"/>
          <w:lang w:val="en-GB"/>
        </w:rPr>
        <w:t xml:space="preserve">, N., </w:t>
      </w:r>
      <w:proofErr w:type="spellStart"/>
      <w:r w:rsidRPr="00AB2735">
        <w:rPr>
          <w:rFonts w:asciiTheme="minorHAnsi" w:hAnsiTheme="minorHAnsi" w:cstheme="minorHAnsi"/>
          <w:lang w:val="en-GB"/>
        </w:rPr>
        <w:t>Magimba</w:t>
      </w:r>
      <w:proofErr w:type="spellEnd"/>
      <w:r w:rsidRPr="00AB2735">
        <w:rPr>
          <w:rFonts w:asciiTheme="minorHAnsi" w:hAnsiTheme="minorHAnsi" w:cstheme="minorHAnsi"/>
          <w:lang w:val="en-GB"/>
        </w:rPr>
        <w:t xml:space="preserve">, A., &amp; Perkins, K. (2016). A School Mental Health Literacy Curriculum Resource Training Approach: </w:t>
      </w:r>
      <w:r w:rsidRPr="00AB2735">
        <w:rPr>
          <w:rFonts w:asciiTheme="minorHAnsi" w:hAnsiTheme="minorHAnsi" w:cstheme="minorHAnsi"/>
          <w:lang w:val="en-GB"/>
        </w:rPr>
        <w:lastRenderedPageBreak/>
        <w:t xml:space="preserve">Effects on Tanzanian Teachers’ Mental Health Knowledge, Stigma and Help-seeking Efficacy. </w:t>
      </w:r>
      <w:r w:rsidRPr="00AB2735">
        <w:rPr>
          <w:rFonts w:asciiTheme="minorHAnsi" w:hAnsiTheme="minorHAnsi" w:cstheme="minorHAnsi"/>
          <w:i/>
          <w:lang w:val="en-GB"/>
        </w:rPr>
        <w:t>International Journal of Mental Health Systems 10</w:t>
      </w:r>
      <w:r w:rsidRPr="00AB2735">
        <w:rPr>
          <w:rFonts w:asciiTheme="minorHAnsi" w:hAnsiTheme="minorHAnsi" w:cstheme="minorHAnsi"/>
          <w:lang w:val="en-GB"/>
        </w:rPr>
        <w:t>(50). DOI: 10.1186/s13033-016-0082-6</w:t>
      </w:r>
    </w:p>
    <w:p w14:paraId="050398D8" w14:textId="77777777" w:rsidR="001775C9" w:rsidRPr="00AB2735" w:rsidRDefault="001775C9" w:rsidP="001775C9">
      <w:pPr>
        <w:tabs>
          <w:tab w:val="left" w:pos="450"/>
        </w:tabs>
        <w:spacing w:line="360" w:lineRule="auto"/>
        <w:ind w:left="360" w:hanging="360"/>
        <w:rPr>
          <w:rFonts w:asciiTheme="minorHAnsi" w:hAnsiTheme="minorHAnsi" w:cstheme="minorHAnsi"/>
          <w:lang w:val="en-GB"/>
        </w:rPr>
      </w:pPr>
      <w:r w:rsidRPr="00AB2735">
        <w:rPr>
          <w:rFonts w:asciiTheme="minorHAnsi" w:hAnsiTheme="minorHAnsi" w:cstheme="minorHAnsi"/>
          <w:lang w:val="en-GB"/>
        </w:rPr>
        <w:t xml:space="preserve">Kutcher, S., Wei, Y., </w:t>
      </w:r>
      <w:proofErr w:type="spellStart"/>
      <w:r w:rsidRPr="00AB2735">
        <w:rPr>
          <w:rFonts w:asciiTheme="minorHAnsi" w:hAnsiTheme="minorHAnsi" w:cstheme="minorHAnsi"/>
          <w:lang w:val="en-GB"/>
        </w:rPr>
        <w:t>Gilberds</w:t>
      </w:r>
      <w:proofErr w:type="spellEnd"/>
      <w:r w:rsidRPr="00AB2735">
        <w:rPr>
          <w:rFonts w:asciiTheme="minorHAnsi" w:hAnsiTheme="minorHAnsi" w:cstheme="minorHAnsi"/>
          <w:lang w:val="en-GB"/>
        </w:rPr>
        <w:t xml:space="preserve">, H., Brown, A., </w:t>
      </w:r>
      <w:proofErr w:type="spellStart"/>
      <w:r w:rsidRPr="00AB2735">
        <w:rPr>
          <w:rFonts w:asciiTheme="minorHAnsi" w:hAnsiTheme="minorHAnsi" w:cstheme="minorHAnsi"/>
          <w:lang w:val="en-GB"/>
        </w:rPr>
        <w:t>Ubuguyu</w:t>
      </w:r>
      <w:proofErr w:type="spellEnd"/>
      <w:r w:rsidRPr="00AB2735">
        <w:rPr>
          <w:rFonts w:asciiTheme="minorHAnsi" w:hAnsiTheme="minorHAnsi" w:cstheme="minorHAnsi"/>
          <w:lang w:val="en-GB"/>
        </w:rPr>
        <w:t xml:space="preserve">, O., </w:t>
      </w:r>
      <w:proofErr w:type="spellStart"/>
      <w:r w:rsidRPr="00AB2735">
        <w:rPr>
          <w:rFonts w:asciiTheme="minorHAnsi" w:hAnsiTheme="minorHAnsi" w:cstheme="minorHAnsi"/>
          <w:lang w:val="en-GB"/>
        </w:rPr>
        <w:t>Njau</w:t>
      </w:r>
      <w:proofErr w:type="spellEnd"/>
      <w:r w:rsidRPr="00AB2735">
        <w:rPr>
          <w:rFonts w:asciiTheme="minorHAnsi" w:hAnsiTheme="minorHAnsi" w:cstheme="minorHAnsi"/>
          <w:lang w:val="en-GB"/>
        </w:rPr>
        <w:t xml:space="preserve">, T., </w:t>
      </w:r>
      <w:proofErr w:type="spellStart"/>
      <w:r w:rsidRPr="00AB2735">
        <w:rPr>
          <w:rFonts w:asciiTheme="minorHAnsi" w:hAnsiTheme="minorHAnsi" w:cstheme="minorHAnsi"/>
          <w:lang w:val="en-GB"/>
        </w:rPr>
        <w:t>Sabuni</w:t>
      </w:r>
      <w:proofErr w:type="spellEnd"/>
      <w:r w:rsidRPr="00AB2735">
        <w:rPr>
          <w:rFonts w:asciiTheme="minorHAnsi" w:hAnsiTheme="minorHAnsi" w:cstheme="minorHAnsi"/>
          <w:lang w:val="en-GB"/>
        </w:rPr>
        <w:t xml:space="preserve">, N., </w:t>
      </w:r>
      <w:proofErr w:type="spellStart"/>
      <w:r w:rsidRPr="00AB2735">
        <w:rPr>
          <w:rFonts w:asciiTheme="minorHAnsi" w:hAnsiTheme="minorHAnsi" w:cstheme="minorHAnsi"/>
          <w:lang w:val="en-GB"/>
        </w:rPr>
        <w:t>Magimba</w:t>
      </w:r>
      <w:proofErr w:type="spellEnd"/>
      <w:r w:rsidRPr="00AB2735">
        <w:rPr>
          <w:rFonts w:asciiTheme="minorHAnsi" w:hAnsiTheme="minorHAnsi" w:cstheme="minorHAnsi"/>
          <w:lang w:val="en-GB"/>
        </w:rPr>
        <w:t xml:space="preserve">, A., &amp; Perkins, K. (2017). The African Guide: One Year Impact and Outcomes from the Implementation of a School Mental Health Literacy Curriculum Resource in Tanzania. </w:t>
      </w:r>
      <w:r w:rsidRPr="00AB2735">
        <w:rPr>
          <w:rFonts w:asciiTheme="minorHAnsi" w:hAnsiTheme="minorHAnsi" w:cstheme="minorHAnsi"/>
          <w:i/>
          <w:lang w:val="en-GB"/>
        </w:rPr>
        <w:t>Journal of Education and Training Studies</w:t>
      </w:r>
      <w:r w:rsidRPr="00AB2735">
        <w:rPr>
          <w:rFonts w:asciiTheme="minorHAnsi" w:hAnsiTheme="minorHAnsi" w:cstheme="minorHAnsi"/>
          <w:lang w:val="en-GB"/>
        </w:rPr>
        <w:t xml:space="preserve">, </w:t>
      </w:r>
      <w:r w:rsidRPr="00AB2735">
        <w:rPr>
          <w:rFonts w:asciiTheme="minorHAnsi" w:hAnsiTheme="minorHAnsi" w:cstheme="minorHAnsi"/>
          <w:i/>
          <w:lang w:val="en-GB"/>
        </w:rPr>
        <w:t>5</w:t>
      </w:r>
      <w:r w:rsidRPr="00AB2735">
        <w:rPr>
          <w:rFonts w:asciiTheme="minorHAnsi" w:hAnsiTheme="minorHAnsi" w:cstheme="minorHAnsi"/>
          <w:lang w:val="en-GB"/>
        </w:rPr>
        <w:t>(4), 64-73. DOI:10.11114/</w:t>
      </w:r>
      <w:proofErr w:type="gramStart"/>
      <w:r w:rsidRPr="00AB2735">
        <w:rPr>
          <w:rFonts w:asciiTheme="minorHAnsi" w:hAnsiTheme="minorHAnsi" w:cstheme="minorHAnsi"/>
          <w:lang w:val="en-GB"/>
        </w:rPr>
        <w:t>jets.v</w:t>
      </w:r>
      <w:proofErr w:type="gramEnd"/>
      <w:r w:rsidRPr="00AB2735">
        <w:rPr>
          <w:rFonts w:asciiTheme="minorHAnsi" w:hAnsiTheme="minorHAnsi" w:cstheme="minorHAnsi"/>
          <w:lang w:val="en-GB"/>
        </w:rPr>
        <w:t>5i4.2049</w:t>
      </w:r>
    </w:p>
    <w:p w14:paraId="760B3A48" w14:textId="77777777" w:rsidR="001775C9" w:rsidRPr="00AB2735" w:rsidRDefault="001775C9" w:rsidP="001775C9">
      <w:pPr>
        <w:tabs>
          <w:tab w:val="left" w:pos="450"/>
        </w:tabs>
        <w:spacing w:line="360" w:lineRule="auto"/>
        <w:ind w:left="360" w:hanging="360"/>
        <w:rPr>
          <w:rFonts w:asciiTheme="minorHAnsi" w:hAnsiTheme="minorHAnsi" w:cstheme="minorHAnsi"/>
          <w:lang w:val="en-GB"/>
        </w:rPr>
      </w:pPr>
      <w:r w:rsidRPr="00AB2735">
        <w:rPr>
          <w:rFonts w:asciiTheme="minorHAnsi" w:hAnsiTheme="minorHAnsi" w:cstheme="minorHAnsi"/>
        </w:rPr>
        <w:t xml:space="preserve">Kutcher, S., Wei, Y., </w:t>
      </w:r>
      <w:proofErr w:type="spellStart"/>
      <w:r w:rsidRPr="00AB2735">
        <w:rPr>
          <w:rFonts w:asciiTheme="minorHAnsi" w:hAnsiTheme="minorHAnsi" w:cstheme="minorHAnsi"/>
        </w:rPr>
        <w:t>Gilberds</w:t>
      </w:r>
      <w:proofErr w:type="spellEnd"/>
      <w:r w:rsidRPr="00AB2735">
        <w:rPr>
          <w:rFonts w:asciiTheme="minorHAnsi" w:hAnsiTheme="minorHAnsi" w:cstheme="minorHAnsi"/>
        </w:rPr>
        <w:t xml:space="preserve">, G., Brown, A., </w:t>
      </w:r>
      <w:proofErr w:type="spellStart"/>
      <w:r w:rsidRPr="00AB2735">
        <w:rPr>
          <w:rFonts w:asciiTheme="minorHAnsi" w:hAnsiTheme="minorHAnsi" w:cstheme="minorHAnsi"/>
        </w:rPr>
        <w:t>Ubuguyu</w:t>
      </w:r>
      <w:proofErr w:type="spellEnd"/>
      <w:r w:rsidRPr="00AB2735">
        <w:rPr>
          <w:rFonts w:asciiTheme="minorHAnsi" w:hAnsiTheme="minorHAnsi" w:cstheme="minorHAnsi"/>
        </w:rPr>
        <w:t xml:space="preserve">, O., </w:t>
      </w:r>
      <w:proofErr w:type="spellStart"/>
      <w:r w:rsidRPr="00AB2735">
        <w:rPr>
          <w:rFonts w:asciiTheme="minorHAnsi" w:hAnsiTheme="minorHAnsi" w:cstheme="minorHAnsi"/>
        </w:rPr>
        <w:t>Njau</w:t>
      </w:r>
      <w:proofErr w:type="spellEnd"/>
      <w:r w:rsidRPr="00AB2735">
        <w:rPr>
          <w:rFonts w:asciiTheme="minorHAnsi" w:hAnsiTheme="minorHAnsi" w:cstheme="minorHAnsi"/>
        </w:rPr>
        <w:t xml:space="preserve">, T., </w:t>
      </w:r>
      <w:proofErr w:type="spellStart"/>
      <w:r w:rsidRPr="00AB2735">
        <w:rPr>
          <w:rFonts w:asciiTheme="minorHAnsi" w:hAnsiTheme="minorHAnsi" w:cstheme="minorHAnsi"/>
        </w:rPr>
        <w:t>Sabuni</w:t>
      </w:r>
      <w:proofErr w:type="spellEnd"/>
      <w:r w:rsidRPr="00AB2735">
        <w:rPr>
          <w:rFonts w:asciiTheme="minorHAnsi" w:hAnsiTheme="minorHAnsi" w:cstheme="minorHAnsi"/>
        </w:rPr>
        <w:t xml:space="preserve">, N., </w:t>
      </w:r>
      <w:proofErr w:type="spellStart"/>
      <w:r w:rsidRPr="00AB2735">
        <w:rPr>
          <w:rFonts w:asciiTheme="minorHAnsi" w:hAnsiTheme="minorHAnsi" w:cstheme="minorHAnsi"/>
        </w:rPr>
        <w:t>Magimba</w:t>
      </w:r>
      <w:proofErr w:type="spellEnd"/>
      <w:r w:rsidRPr="00AB2735">
        <w:rPr>
          <w:rFonts w:asciiTheme="minorHAnsi" w:hAnsiTheme="minorHAnsi" w:cstheme="minorHAnsi"/>
        </w:rPr>
        <w:t xml:space="preserve">, A., &amp; Perkins, K. (2016). Community </w:t>
      </w:r>
      <w:proofErr w:type="spellStart"/>
      <w:r w:rsidRPr="00AB2735">
        <w:rPr>
          <w:rFonts w:asciiTheme="minorHAnsi" w:hAnsiTheme="minorHAnsi" w:cstheme="minorHAnsi"/>
        </w:rPr>
        <w:t>Helath</w:t>
      </w:r>
      <w:proofErr w:type="spellEnd"/>
      <w:r w:rsidRPr="00AB2735">
        <w:rPr>
          <w:rFonts w:asciiTheme="minorHAnsi" w:hAnsiTheme="minorHAnsi" w:cstheme="minorHAnsi"/>
        </w:rPr>
        <w:t xml:space="preserve"> Care Providers Knowledge and Self-confidence in the Identification, Diagnosis and Treatment of Adolescent Depression in Tanzania. </w:t>
      </w:r>
      <w:r w:rsidRPr="00AB2735">
        <w:rPr>
          <w:rFonts w:asciiTheme="minorHAnsi" w:hAnsiTheme="minorHAnsi" w:cstheme="minorHAnsi"/>
          <w:i/>
        </w:rPr>
        <w:t>Arch Depress Anxiety, 2</w:t>
      </w:r>
      <w:r w:rsidRPr="00AB2735">
        <w:rPr>
          <w:rFonts w:asciiTheme="minorHAnsi" w:hAnsiTheme="minorHAnsi" w:cstheme="minorHAnsi"/>
        </w:rPr>
        <w:t xml:space="preserve"> (1), 26-30.</w:t>
      </w:r>
    </w:p>
    <w:p w14:paraId="27C7D59E" w14:textId="77777777" w:rsidR="001775C9" w:rsidRPr="00AB2735" w:rsidRDefault="001775C9" w:rsidP="001775C9">
      <w:pPr>
        <w:tabs>
          <w:tab w:val="left" w:pos="450"/>
        </w:tabs>
        <w:spacing w:line="360" w:lineRule="auto"/>
        <w:ind w:left="360" w:hanging="360"/>
        <w:rPr>
          <w:rFonts w:asciiTheme="minorHAnsi" w:hAnsiTheme="minorHAnsi" w:cstheme="minorHAnsi"/>
          <w:lang w:val="en-CA"/>
        </w:rPr>
      </w:pPr>
      <w:r w:rsidRPr="00AB2735">
        <w:rPr>
          <w:rFonts w:asciiTheme="minorHAnsi" w:hAnsiTheme="minorHAnsi" w:cstheme="minorHAnsi"/>
          <w:lang w:val="en-GB"/>
        </w:rPr>
        <w:t xml:space="preserve">Kutcher, S., Wei, Y., &amp; Hashish, M. (2016). Mental Health Literacy for Students and Teachers: A “School Friendly” Approach. In M. Hodes (Ed), </w:t>
      </w:r>
      <w:r w:rsidRPr="00AB2735">
        <w:rPr>
          <w:rFonts w:asciiTheme="minorHAnsi" w:hAnsiTheme="minorHAnsi" w:cstheme="minorHAnsi"/>
          <w:i/>
          <w:lang w:val="en-GB"/>
        </w:rPr>
        <w:t>Positive Mental Health for Children and Adolescents</w:t>
      </w:r>
      <w:r w:rsidRPr="00AB2735">
        <w:rPr>
          <w:rFonts w:asciiTheme="minorHAnsi" w:hAnsiTheme="minorHAnsi" w:cstheme="minorHAnsi"/>
          <w:lang w:val="en-GB"/>
        </w:rPr>
        <w:t>.</w:t>
      </w:r>
    </w:p>
    <w:p w14:paraId="0F5622D3" w14:textId="77777777" w:rsidR="001775C9" w:rsidRPr="00AB2735" w:rsidRDefault="001775C9" w:rsidP="001775C9">
      <w:pPr>
        <w:spacing w:line="360" w:lineRule="auto"/>
        <w:ind w:left="450" w:hanging="450"/>
        <w:rPr>
          <w:rFonts w:asciiTheme="minorHAnsi" w:hAnsiTheme="minorHAnsi" w:cstheme="minorHAnsi"/>
          <w:lang w:val="en-CA"/>
        </w:rPr>
      </w:pPr>
      <w:r w:rsidRPr="00AB2735">
        <w:rPr>
          <w:rFonts w:asciiTheme="minorHAnsi" w:hAnsiTheme="minorHAnsi" w:cstheme="minorHAnsi"/>
          <w:lang w:val="en-CA"/>
        </w:rPr>
        <w:t xml:space="preserve">Kutcher, S., Wei, Y. &amp; Morgan, C. (2015): Successful application of a Canadian mental health curriculum resource by usual classroom teachers in significantly and sustainably improving student mental health literacy, </w:t>
      </w:r>
      <w:r w:rsidRPr="00AB2735">
        <w:rPr>
          <w:rFonts w:asciiTheme="minorHAnsi" w:hAnsiTheme="minorHAnsi" w:cstheme="minorHAnsi"/>
          <w:i/>
          <w:lang w:val="en-CA"/>
        </w:rPr>
        <w:t>Canadian Journal of Psychiatry,</w:t>
      </w:r>
      <w:r w:rsidRPr="00AB2735">
        <w:rPr>
          <w:rFonts w:asciiTheme="minorHAnsi" w:hAnsiTheme="minorHAnsi" w:cstheme="minorHAnsi"/>
          <w:lang w:val="en-CA"/>
        </w:rPr>
        <w:t xml:space="preserve"> 60(12), 580-586. DOI 10.1177/070674371506001209</w:t>
      </w:r>
    </w:p>
    <w:p w14:paraId="7682A109" w14:textId="5C59E309" w:rsidR="001775C9" w:rsidRPr="00AB2735" w:rsidRDefault="001775C9" w:rsidP="001775C9">
      <w:pPr>
        <w:spacing w:line="360" w:lineRule="auto"/>
        <w:ind w:left="450" w:hanging="450"/>
        <w:rPr>
          <w:rFonts w:asciiTheme="minorHAnsi" w:hAnsiTheme="minorHAnsi" w:cstheme="minorHAnsi"/>
          <w:lang w:val="en-CA"/>
        </w:rPr>
      </w:pPr>
      <w:proofErr w:type="spellStart"/>
      <w:r w:rsidRPr="00AB2735">
        <w:rPr>
          <w:rFonts w:asciiTheme="minorHAnsi" w:hAnsiTheme="minorHAnsi" w:cstheme="minorHAnsi"/>
          <w:lang w:val="en-CA"/>
        </w:rPr>
        <w:t>McLuckie</w:t>
      </w:r>
      <w:proofErr w:type="spellEnd"/>
      <w:r w:rsidRPr="00AB2735">
        <w:rPr>
          <w:rFonts w:asciiTheme="minorHAnsi" w:hAnsiTheme="minorHAnsi" w:cstheme="minorHAnsi"/>
          <w:lang w:val="en-CA"/>
        </w:rPr>
        <w:t xml:space="preserve">, A., Kutcher, S., Wei, Y. &amp; Weaver, C. (2014). Sustained improvements in students’ mental health literacy with use of a mental health curriculum in Canadian schools. </w:t>
      </w:r>
      <w:r w:rsidRPr="00AB2735">
        <w:rPr>
          <w:rFonts w:asciiTheme="minorHAnsi" w:hAnsiTheme="minorHAnsi" w:cstheme="minorHAnsi"/>
          <w:i/>
          <w:lang w:val="en-CA"/>
        </w:rPr>
        <w:t>BMC Psychiatry, 14</w:t>
      </w:r>
      <w:r w:rsidRPr="00AB2735">
        <w:rPr>
          <w:rFonts w:asciiTheme="minorHAnsi" w:hAnsiTheme="minorHAnsi" w:cstheme="minorHAnsi"/>
          <w:lang w:val="en-CA"/>
        </w:rPr>
        <w:t>(379). DOI 10.1186/s12888-014-0379-4</w:t>
      </w:r>
    </w:p>
    <w:p w14:paraId="77A8C096" w14:textId="77777777" w:rsidR="00BA0A62" w:rsidRPr="00AB2735" w:rsidRDefault="0099450D" w:rsidP="00BA0A62">
      <w:pPr>
        <w:spacing w:line="360" w:lineRule="auto"/>
        <w:ind w:left="450" w:hanging="450"/>
        <w:rPr>
          <w:rFonts w:asciiTheme="minorHAnsi" w:hAnsiTheme="minorHAnsi" w:cstheme="minorHAnsi"/>
          <w:lang w:val="en-CA"/>
        </w:rPr>
      </w:pPr>
      <w:proofErr w:type="spellStart"/>
      <w:r w:rsidRPr="00AB2735">
        <w:rPr>
          <w:rFonts w:asciiTheme="minorHAnsi" w:hAnsiTheme="minorHAnsi" w:cstheme="minorHAnsi"/>
          <w:lang w:val="en-CA"/>
        </w:rPr>
        <w:t>Milin</w:t>
      </w:r>
      <w:proofErr w:type="spellEnd"/>
      <w:r w:rsidRPr="00AB2735">
        <w:rPr>
          <w:rFonts w:asciiTheme="minorHAnsi" w:hAnsiTheme="minorHAnsi" w:cstheme="minorHAnsi"/>
          <w:lang w:val="en-CA"/>
        </w:rPr>
        <w:t xml:space="preserve">, R., Kutcher, S., Lewis, S., Walker, S., Wei, Y., </w:t>
      </w:r>
      <w:proofErr w:type="spellStart"/>
      <w:r w:rsidRPr="00AB2735">
        <w:rPr>
          <w:rFonts w:asciiTheme="minorHAnsi" w:hAnsiTheme="minorHAnsi" w:cstheme="minorHAnsi"/>
          <w:lang w:val="en-CA"/>
        </w:rPr>
        <w:t>Ferrill</w:t>
      </w:r>
      <w:proofErr w:type="spellEnd"/>
      <w:r w:rsidRPr="00AB2735">
        <w:rPr>
          <w:rFonts w:asciiTheme="minorHAnsi" w:hAnsiTheme="minorHAnsi" w:cstheme="minorHAnsi"/>
          <w:lang w:val="en-CA"/>
        </w:rPr>
        <w:t xml:space="preserve">, N., &amp; Armstrong, M. (2016). Impact of a mental health curriculum on knowledge and stigma among high school students: a randomized controlled trial. </w:t>
      </w:r>
      <w:r w:rsidRPr="00AB2735">
        <w:rPr>
          <w:rFonts w:asciiTheme="minorHAnsi" w:hAnsiTheme="minorHAnsi" w:cstheme="minorHAnsi"/>
          <w:i/>
          <w:iCs/>
          <w:lang w:val="en-CA"/>
        </w:rPr>
        <w:t>Journal of American Academy of Child and Adolescent Psychiatry 55</w:t>
      </w:r>
      <w:r w:rsidRPr="00AB2735">
        <w:rPr>
          <w:rFonts w:asciiTheme="minorHAnsi" w:hAnsiTheme="minorHAnsi" w:cstheme="minorHAnsi"/>
          <w:lang w:val="en-CA"/>
        </w:rPr>
        <w:t>(5), 383-391. DOI: 10.1016/j.jaac.2016.02.018</w:t>
      </w:r>
    </w:p>
    <w:p w14:paraId="7FD9E774" w14:textId="59DC68AE" w:rsidR="00120723" w:rsidRPr="00AB2735" w:rsidRDefault="00120723" w:rsidP="00BA0A62">
      <w:pPr>
        <w:spacing w:line="360" w:lineRule="auto"/>
        <w:ind w:left="450" w:hanging="450"/>
        <w:rPr>
          <w:rFonts w:asciiTheme="minorHAnsi" w:hAnsiTheme="minorHAnsi" w:cstheme="minorHAnsi"/>
          <w:lang w:val="en-CA"/>
        </w:rPr>
      </w:pPr>
      <w:proofErr w:type="spellStart"/>
      <w:r w:rsidRPr="00AB2735">
        <w:rPr>
          <w:rFonts w:asciiTheme="minorHAnsi" w:hAnsiTheme="minorHAnsi" w:cstheme="minorHAnsi"/>
          <w:lang w:val="en-CA"/>
        </w:rPr>
        <w:t>Pescosolido</w:t>
      </w:r>
      <w:proofErr w:type="spellEnd"/>
      <w:r w:rsidRPr="00AB2735">
        <w:rPr>
          <w:rFonts w:asciiTheme="minorHAnsi" w:hAnsiTheme="minorHAnsi" w:cstheme="minorHAnsi"/>
          <w:lang w:val="en-CA"/>
        </w:rPr>
        <w:t>, B.A. (2016). The beginning of the end? Deploying rigorous research</w:t>
      </w:r>
      <w:r w:rsidR="00BA0A62" w:rsidRPr="00AB2735">
        <w:rPr>
          <w:rFonts w:asciiTheme="minorHAnsi" w:hAnsiTheme="minorHAnsi" w:cstheme="minorHAnsi"/>
          <w:lang w:val="en-CA"/>
        </w:rPr>
        <w:t xml:space="preserve"> </w:t>
      </w:r>
      <w:r w:rsidRPr="00AB2735">
        <w:rPr>
          <w:rFonts w:asciiTheme="minorHAnsi" w:hAnsiTheme="minorHAnsi" w:cstheme="minorHAnsi"/>
          <w:lang w:val="en-CA"/>
        </w:rPr>
        <w:t>in real-</w:t>
      </w:r>
      <w:r w:rsidR="00F731CB" w:rsidRPr="00AB2735">
        <w:rPr>
          <w:rFonts w:asciiTheme="minorHAnsi" w:hAnsiTheme="minorHAnsi" w:cstheme="minorHAnsi"/>
          <w:lang w:val="en-CA"/>
        </w:rPr>
        <w:t>w</w:t>
      </w:r>
      <w:r w:rsidRPr="00AB2735">
        <w:rPr>
          <w:rFonts w:asciiTheme="minorHAnsi" w:hAnsiTheme="minorHAnsi" w:cstheme="minorHAnsi"/>
          <w:lang w:val="en-CA"/>
        </w:rPr>
        <w:t xml:space="preserve">orld </w:t>
      </w:r>
      <w:r w:rsidR="00F731CB" w:rsidRPr="00AB2735">
        <w:rPr>
          <w:rFonts w:asciiTheme="minorHAnsi" w:hAnsiTheme="minorHAnsi" w:cstheme="minorHAnsi"/>
          <w:lang w:val="en-CA"/>
        </w:rPr>
        <w:t>s</w:t>
      </w:r>
      <w:r w:rsidRPr="00AB2735">
        <w:rPr>
          <w:rFonts w:asciiTheme="minorHAnsi" w:hAnsiTheme="minorHAnsi" w:cstheme="minorHAnsi"/>
          <w:lang w:val="en-CA"/>
        </w:rPr>
        <w:t xml:space="preserve">ettings to </w:t>
      </w:r>
      <w:r w:rsidR="00F731CB" w:rsidRPr="00AB2735">
        <w:rPr>
          <w:rFonts w:asciiTheme="minorHAnsi" w:hAnsiTheme="minorHAnsi" w:cstheme="minorHAnsi"/>
          <w:lang w:val="en-CA"/>
        </w:rPr>
        <w:t>r</w:t>
      </w:r>
      <w:r w:rsidRPr="00AB2735">
        <w:rPr>
          <w:rFonts w:asciiTheme="minorHAnsi" w:hAnsiTheme="minorHAnsi" w:cstheme="minorHAnsi"/>
          <w:lang w:val="en-CA"/>
        </w:rPr>
        <w:t xml:space="preserve">educe </w:t>
      </w:r>
      <w:r w:rsidR="00F731CB" w:rsidRPr="00AB2735">
        <w:rPr>
          <w:rFonts w:asciiTheme="minorHAnsi" w:hAnsiTheme="minorHAnsi" w:cstheme="minorHAnsi"/>
          <w:lang w:val="en-CA"/>
        </w:rPr>
        <w:t>s</w:t>
      </w:r>
      <w:r w:rsidRPr="00AB2735">
        <w:rPr>
          <w:rFonts w:asciiTheme="minorHAnsi" w:hAnsiTheme="minorHAnsi" w:cstheme="minorHAnsi"/>
          <w:lang w:val="en-CA"/>
        </w:rPr>
        <w:t>tigma</w:t>
      </w:r>
      <w:r w:rsidR="00F731CB" w:rsidRPr="00AB2735">
        <w:rPr>
          <w:rFonts w:asciiTheme="minorHAnsi" w:hAnsiTheme="minorHAnsi" w:cstheme="minorHAnsi"/>
          <w:lang w:val="en-CA"/>
        </w:rPr>
        <w:t xml:space="preserve">. </w:t>
      </w:r>
      <w:r w:rsidR="00F731CB" w:rsidRPr="00AB2735">
        <w:rPr>
          <w:rFonts w:asciiTheme="minorHAnsi" w:hAnsiTheme="minorHAnsi" w:cstheme="minorHAnsi"/>
          <w:i/>
          <w:iCs/>
          <w:lang w:val="en-CA"/>
        </w:rPr>
        <w:t>Journal of American Academy of Child and Adolescent Psychiatry 55</w:t>
      </w:r>
      <w:r w:rsidR="00F731CB" w:rsidRPr="00AB2735">
        <w:rPr>
          <w:rFonts w:asciiTheme="minorHAnsi" w:hAnsiTheme="minorHAnsi" w:cstheme="minorHAnsi"/>
          <w:lang w:val="en-CA"/>
        </w:rPr>
        <w:t xml:space="preserve">(5), 353-354. </w:t>
      </w:r>
      <w:proofErr w:type="spellStart"/>
      <w:r w:rsidR="00F731CB" w:rsidRPr="00AB2735">
        <w:rPr>
          <w:rFonts w:asciiTheme="minorHAnsi" w:hAnsiTheme="minorHAnsi" w:cstheme="minorHAnsi"/>
          <w:lang w:val="en-CA"/>
        </w:rPr>
        <w:t>DOI:</w:t>
      </w:r>
      <w:hyperlink r:id="rId15" w:history="1">
        <w:r w:rsidR="00F731CB" w:rsidRPr="00AB2735">
          <w:rPr>
            <w:rFonts w:asciiTheme="minorHAnsi" w:hAnsiTheme="minorHAnsi" w:cstheme="minorHAnsi"/>
            <w:lang w:val="en-CA"/>
          </w:rPr>
          <w:t>https</w:t>
        </w:r>
        <w:proofErr w:type="spellEnd"/>
        <w:r w:rsidR="00F731CB" w:rsidRPr="00AB2735">
          <w:rPr>
            <w:rFonts w:asciiTheme="minorHAnsi" w:hAnsiTheme="minorHAnsi" w:cstheme="minorHAnsi"/>
            <w:lang w:val="en-CA"/>
          </w:rPr>
          <w:t>://doi.org/10.1016/j.jaac.2016.03.001</w:t>
        </w:r>
      </w:hyperlink>
      <w:r w:rsidR="00B6167A" w:rsidRPr="00AB2735">
        <w:rPr>
          <w:rFonts w:asciiTheme="minorHAnsi" w:hAnsiTheme="minorHAnsi" w:cstheme="minorHAnsi"/>
          <w:lang w:val="en-CA"/>
        </w:rPr>
        <w:t xml:space="preserve">. </w:t>
      </w:r>
    </w:p>
    <w:p w14:paraId="2C6BD81E" w14:textId="77777777" w:rsidR="001775C9" w:rsidRPr="00AB2735" w:rsidRDefault="001775C9" w:rsidP="001775C9">
      <w:pPr>
        <w:spacing w:line="360" w:lineRule="auto"/>
        <w:ind w:left="450" w:hanging="450"/>
        <w:rPr>
          <w:rFonts w:asciiTheme="minorHAnsi" w:hAnsiTheme="minorHAnsi" w:cstheme="minorHAnsi"/>
          <w:lang w:val="en-CA"/>
        </w:rPr>
      </w:pPr>
      <w:r w:rsidRPr="00AB2735">
        <w:rPr>
          <w:rFonts w:asciiTheme="minorHAnsi" w:hAnsiTheme="minorHAnsi" w:cstheme="minorHAnsi"/>
          <w:lang w:val="en-GB"/>
        </w:rPr>
        <w:lastRenderedPageBreak/>
        <w:t xml:space="preserve">Wei, Y. &amp; Kutcher, S. (2015). International School Mental Health: Global Lessons. In S. Kutcher, Y. Wei, &amp; M.D. </w:t>
      </w:r>
      <w:proofErr w:type="spellStart"/>
      <w:r w:rsidRPr="00AB2735">
        <w:rPr>
          <w:rFonts w:asciiTheme="minorHAnsi" w:hAnsiTheme="minorHAnsi" w:cstheme="minorHAnsi"/>
          <w:lang w:val="en-GB"/>
        </w:rPr>
        <w:t>Weist</w:t>
      </w:r>
      <w:proofErr w:type="spellEnd"/>
      <w:r w:rsidRPr="00AB2735">
        <w:rPr>
          <w:rFonts w:asciiTheme="minorHAnsi" w:hAnsiTheme="minorHAnsi" w:cstheme="minorHAnsi"/>
          <w:lang w:val="en-GB"/>
        </w:rPr>
        <w:t xml:space="preserve"> (Eds.), </w:t>
      </w:r>
      <w:r w:rsidRPr="00AB2735">
        <w:rPr>
          <w:rFonts w:asciiTheme="minorHAnsi" w:hAnsiTheme="minorHAnsi" w:cstheme="minorHAnsi"/>
          <w:i/>
        </w:rPr>
        <w:t>School Mental Health: Global Challenges and Opportunities</w:t>
      </w:r>
      <w:r w:rsidRPr="00AB2735">
        <w:rPr>
          <w:rFonts w:asciiTheme="minorHAnsi" w:hAnsiTheme="minorHAnsi" w:cstheme="minorHAnsi"/>
        </w:rPr>
        <w:t>.  Cambridge: Cambridge University Press.</w:t>
      </w:r>
    </w:p>
    <w:p w14:paraId="404EC1FA" w14:textId="77777777" w:rsidR="001775C9" w:rsidRPr="00AB2735" w:rsidRDefault="001775C9" w:rsidP="001775C9">
      <w:pPr>
        <w:spacing w:line="360" w:lineRule="auto"/>
        <w:ind w:left="450" w:hanging="450"/>
        <w:rPr>
          <w:rFonts w:asciiTheme="minorHAnsi" w:hAnsiTheme="minorHAnsi" w:cstheme="minorHAnsi"/>
          <w:lang w:val="en-CA"/>
        </w:rPr>
      </w:pPr>
      <w:r w:rsidRPr="00AB2735">
        <w:rPr>
          <w:rFonts w:asciiTheme="minorHAnsi" w:hAnsiTheme="minorHAnsi" w:cstheme="minorHAnsi"/>
          <w:lang w:val="en-CA"/>
        </w:rPr>
        <w:t xml:space="preserve">Wei, Y., Kutcher, S., Blackwood, A., Glover, D., Weaver, C., MacKay, A., Bruce, V., </w:t>
      </w:r>
      <w:proofErr w:type="spellStart"/>
      <w:r w:rsidRPr="00AB2735">
        <w:rPr>
          <w:rFonts w:asciiTheme="minorHAnsi" w:hAnsiTheme="minorHAnsi" w:cstheme="minorHAnsi"/>
          <w:lang w:val="en-CA"/>
        </w:rPr>
        <w:t>Whynacht</w:t>
      </w:r>
      <w:proofErr w:type="spellEnd"/>
      <w:r w:rsidRPr="00AB2735">
        <w:rPr>
          <w:rFonts w:asciiTheme="minorHAnsi" w:hAnsiTheme="minorHAnsi" w:cstheme="minorHAnsi"/>
          <w:lang w:val="en-CA"/>
        </w:rPr>
        <w:t xml:space="preserve">, A., </w:t>
      </w:r>
      <w:proofErr w:type="spellStart"/>
      <w:r w:rsidRPr="00AB2735">
        <w:rPr>
          <w:rFonts w:asciiTheme="minorHAnsi" w:hAnsiTheme="minorHAnsi" w:cstheme="minorHAnsi"/>
          <w:lang w:val="en-CA"/>
        </w:rPr>
        <w:t>Alshazly</w:t>
      </w:r>
      <w:proofErr w:type="spellEnd"/>
      <w:r w:rsidRPr="00AB2735">
        <w:rPr>
          <w:rFonts w:asciiTheme="minorHAnsi" w:hAnsiTheme="minorHAnsi" w:cstheme="minorHAnsi"/>
          <w:lang w:val="en-CA"/>
        </w:rPr>
        <w:t xml:space="preserve">, F., &amp; Shea, M. (2015). A collaborative and sustainable approach to address mental health promotion and early identification in schools in the Canadian province of Nova Scotia and beyond. In </w:t>
      </w:r>
      <w:r w:rsidRPr="00AB2735">
        <w:rPr>
          <w:rFonts w:asciiTheme="minorHAnsi" w:hAnsiTheme="minorHAnsi" w:cstheme="minorHAnsi"/>
          <w:lang w:val="en-GB"/>
        </w:rPr>
        <w:t xml:space="preserve">S. Kutcher, Y. Wei, &amp; M.D. </w:t>
      </w:r>
      <w:proofErr w:type="spellStart"/>
      <w:r w:rsidRPr="00AB2735">
        <w:rPr>
          <w:rFonts w:asciiTheme="minorHAnsi" w:hAnsiTheme="minorHAnsi" w:cstheme="minorHAnsi"/>
          <w:lang w:val="en-GB"/>
        </w:rPr>
        <w:t>Weist</w:t>
      </w:r>
      <w:proofErr w:type="spellEnd"/>
      <w:r w:rsidRPr="00AB2735">
        <w:rPr>
          <w:rFonts w:asciiTheme="minorHAnsi" w:hAnsiTheme="minorHAnsi" w:cstheme="minorHAnsi"/>
          <w:lang w:val="en-GB"/>
        </w:rPr>
        <w:t xml:space="preserve"> (Eds.), </w:t>
      </w:r>
      <w:r w:rsidRPr="00AB2735">
        <w:rPr>
          <w:rFonts w:asciiTheme="minorHAnsi" w:hAnsiTheme="minorHAnsi" w:cstheme="minorHAnsi"/>
          <w:i/>
        </w:rPr>
        <w:t>School Mental Health: Global Challenges and Opportunities</w:t>
      </w:r>
      <w:r w:rsidRPr="00AB2735">
        <w:rPr>
          <w:rFonts w:asciiTheme="minorHAnsi" w:hAnsiTheme="minorHAnsi" w:cstheme="minorHAnsi"/>
        </w:rPr>
        <w:t>. Cambridge: Cambridge University Press.</w:t>
      </w:r>
    </w:p>
    <w:p w14:paraId="28746DD0" w14:textId="77777777" w:rsidR="001775C9" w:rsidRPr="00AB2735" w:rsidRDefault="001775C9" w:rsidP="001775C9">
      <w:pPr>
        <w:spacing w:line="360" w:lineRule="auto"/>
        <w:ind w:left="450" w:hanging="450"/>
        <w:rPr>
          <w:rFonts w:asciiTheme="minorHAnsi" w:hAnsiTheme="minorHAnsi" w:cstheme="minorHAnsi"/>
          <w:lang w:val="en-CA"/>
        </w:rPr>
      </w:pPr>
      <w:r w:rsidRPr="00AB2735">
        <w:rPr>
          <w:rFonts w:asciiTheme="minorHAnsi" w:hAnsiTheme="minorHAnsi" w:cstheme="minorHAnsi"/>
          <w:lang w:val="en-CA"/>
        </w:rPr>
        <w:t xml:space="preserve">Wei, Y., Kutcher, S., Hine, H. &amp; Mackay, A. (2014). Successfully embedding mental health literacy into Canadian classroom curriculum by building on existing educator competencies and school structures: The Mental Health and High School Curriculum Guide for secondary schools in Nova Scotia. </w:t>
      </w:r>
      <w:r w:rsidRPr="00AB2735">
        <w:rPr>
          <w:rFonts w:asciiTheme="minorHAnsi" w:hAnsiTheme="minorHAnsi" w:cstheme="minorHAnsi"/>
          <w:i/>
          <w:lang w:val="en-CA"/>
        </w:rPr>
        <w:t>Literacy Information and Computer Education Journal,</w:t>
      </w:r>
      <w:r w:rsidRPr="00AB2735">
        <w:rPr>
          <w:rFonts w:asciiTheme="minorHAnsi" w:hAnsiTheme="minorHAnsi" w:cstheme="minorHAnsi"/>
          <w:lang w:val="en-CA"/>
        </w:rPr>
        <w:t>5(3), 1158-1163.</w:t>
      </w:r>
    </w:p>
    <w:p w14:paraId="15A57DD0" w14:textId="77777777" w:rsidR="001775C9" w:rsidRPr="00AB2735" w:rsidRDefault="001775C9" w:rsidP="00A85F6C">
      <w:pPr>
        <w:rPr>
          <w:rFonts w:asciiTheme="minorHAnsi" w:hAnsiTheme="minorHAnsi" w:cstheme="minorHAnsi"/>
          <w:lang w:val="en-CA"/>
        </w:rPr>
      </w:pPr>
    </w:p>
    <w:p w14:paraId="08D83F5A" w14:textId="77777777" w:rsidR="001775C9" w:rsidRPr="00AB2735" w:rsidRDefault="001775C9" w:rsidP="00A85F6C">
      <w:pPr>
        <w:rPr>
          <w:rFonts w:asciiTheme="minorHAnsi" w:hAnsiTheme="minorHAnsi" w:cstheme="minorHAnsi"/>
          <w:lang w:val="en-CA"/>
        </w:rPr>
      </w:pPr>
    </w:p>
    <w:p w14:paraId="6B03084E" w14:textId="77777777" w:rsidR="001775C9" w:rsidRPr="00AB2735" w:rsidRDefault="001775C9" w:rsidP="00A85F6C">
      <w:pPr>
        <w:rPr>
          <w:rFonts w:asciiTheme="minorHAnsi" w:hAnsiTheme="minorHAnsi" w:cstheme="minorHAnsi"/>
          <w:lang w:val="en-CA"/>
        </w:rPr>
      </w:pPr>
    </w:p>
    <w:p w14:paraId="6E628368" w14:textId="77777777" w:rsidR="001775C9" w:rsidRPr="00AB2735" w:rsidRDefault="001775C9" w:rsidP="00A85F6C">
      <w:pPr>
        <w:rPr>
          <w:rFonts w:asciiTheme="minorHAnsi" w:hAnsiTheme="minorHAnsi" w:cstheme="minorHAnsi"/>
          <w:lang w:val="en-CA"/>
        </w:rPr>
      </w:pPr>
    </w:p>
    <w:p w14:paraId="54581C59" w14:textId="77777777" w:rsidR="001775C9" w:rsidRPr="00AB2735" w:rsidRDefault="001775C9" w:rsidP="00A85F6C">
      <w:pPr>
        <w:rPr>
          <w:rFonts w:asciiTheme="minorHAnsi" w:hAnsiTheme="minorHAnsi" w:cstheme="minorHAnsi"/>
          <w:lang w:val="en-CA"/>
        </w:rPr>
      </w:pPr>
    </w:p>
    <w:p w14:paraId="53446E01" w14:textId="77777777" w:rsidR="001775C9" w:rsidRPr="00AB2735" w:rsidRDefault="001775C9" w:rsidP="00A85F6C">
      <w:pPr>
        <w:rPr>
          <w:rFonts w:asciiTheme="minorHAnsi" w:hAnsiTheme="minorHAnsi" w:cstheme="minorHAnsi"/>
          <w:lang w:val="en-CA"/>
        </w:rPr>
      </w:pPr>
    </w:p>
    <w:p w14:paraId="033CF6E1" w14:textId="77777777" w:rsidR="001775C9" w:rsidRPr="00AB2735" w:rsidRDefault="001775C9" w:rsidP="00A85F6C">
      <w:pPr>
        <w:rPr>
          <w:rFonts w:asciiTheme="minorHAnsi" w:hAnsiTheme="minorHAnsi" w:cstheme="minorHAnsi"/>
          <w:lang w:val="en-CA"/>
        </w:rPr>
      </w:pPr>
    </w:p>
    <w:p w14:paraId="54D7D966" w14:textId="77777777" w:rsidR="00EC471B" w:rsidRPr="00AB2735" w:rsidRDefault="00EC471B" w:rsidP="00A85F6C">
      <w:pPr>
        <w:rPr>
          <w:rFonts w:asciiTheme="minorHAnsi" w:hAnsiTheme="minorHAnsi" w:cstheme="minorHAnsi"/>
          <w:lang w:val="en-CA"/>
        </w:rPr>
      </w:pPr>
    </w:p>
    <w:p w14:paraId="77BBF8B8" w14:textId="77777777" w:rsidR="00CC0C78" w:rsidRPr="00AB2735" w:rsidRDefault="00CC0C78" w:rsidP="00A85F6C">
      <w:pPr>
        <w:rPr>
          <w:rFonts w:asciiTheme="minorHAnsi" w:hAnsiTheme="minorHAnsi" w:cstheme="minorHAnsi"/>
          <w:lang w:val="en-CA"/>
        </w:rPr>
      </w:pPr>
    </w:p>
    <w:p w14:paraId="01419373" w14:textId="77777777" w:rsidR="00102F74" w:rsidRPr="00AB2735" w:rsidRDefault="00102F74" w:rsidP="00A85F6C">
      <w:pPr>
        <w:rPr>
          <w:rFonts w:asciiTheme="minorHAnsi" w:hAnsiTheme="minorHAnsi" w:cstheme="minorHAnsi"/>
          <w:lang w:val="en-CA"/>
        </w:rPr>
      </w:pPr>
    </w:p>
    <w:sectPr w:rsidR="00102F74" w:rsidRPr="00AB2735" w:rsidSect="00B07FF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35091" w14:textId="77777777" w:rsidR="002C36E2" w:rsidRDefault="002C36E2" w:rsidP="002C36E2">
      <w:r>
        <w:separator/>
      </w:r>
    </w:p>
  </w:endnote>
  <w:endnote w:type="continuationSeparator" w:id="0">
    <w:p w14:paraId="2B4BAF4E" w14:textId="77777777" w:rsidR="002C36E2" w:rsidRDefault="002C36E2" w:rsidP="002C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790809"/>
      <w:docPartObj>
        <w:docPartGallery w:val="Page Numbers (Bottom of Page)"/>
        <w:docPartUnique/>
      </w:docPartObj>
    </w:sdtPr>
    <w:sdtEndPr>
      <w:rPr>
        <w:noProof/>
      </w:rPr>
    </w:sdtEndPr>
    <w:sdtContent>
      <w:p w14:paraId="68368779" w14:textId="5D51A476" w:rsidR="002C36E2" w:rsidRDefault="002C3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883DD" w14:textId="77777777" w:rsidR="002C36E2" w:rsidRDefault="002C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969B" w14:textId="77777777" w:rsidR="002C36E2" w:rsidRDefault="002C36E2" w:rsidP="002C36E2">
      <w:r>
        <w:separator/>
      </w:r>
    </w:p>
  </w:footnote>
  <w:footnote w:type="continuationSeparator" w:id="0">
    <w:p w14:paraId="1C6F10D1" w14:textId="77777777" w:rsidR="002C36E2" w:rsidRDefault="002C36E2" w:rsidP="002C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663C8"/>
    <w:multiLevelType w:val="hybridMultilevel"/>
    <w:tmpl w:val="81D65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6C"/>
    <w:rsid w:val="00006BEB"/>
    <w:rsid w:val="0001605D"/>
    <w:rsid w:val="00016B4F"/>
    <w:rsid w:val="00024DAA"/>
    <w:rsid w:val="00027107"/>
    <w:rsid w:val="0003052D"/>
    <w:rsid w:val="0003361E"/>
    <w:rsid w:val="000649C9"/>
    <w:rsid w:val="00071B95"/>
    <w:rsid w:val="00076EBE"/>
    <w:rsid w:val="00081957"/>
    <w:rsid w:val="00083C2B"/>
    <w:rsid w:val="00087111"/>
    <w:rsid w:val="000A0F55"/>
    <w:rsid w:val="000B2385"/>
    <w:rsid w:val="000B6EEE"/>
    <w:rsid w:val="000C6653"/>
    <w:rsid w:val="000E0BCE"/>
    <w:rsid w:val="000E1AAC"/>
    <w:rsid w:val="000E1AB7"/>
    <w:rsid w:val="000E281C"/>
    <w:rsid w:val="00102F74"/>
    <w:rsid w:val="001171A4"/>
    <w:rsid w:val="00120723"/>
    <w:rsid w:val="00124DBB"/>
    <w:rsid w:val="00137CA0"/>
    <w:rsid w:val="001513D0"/>
    <w:rsid w:val="0015381C"/>
    <w:rsid w:val="00155BFC"/>
    <w:rsid w:val="001571AA"/>
    <w:rsid w:val="0016395B"/>
    <w:rsid w:val="0016596F"/>
    <w:rsid w:val="001753D3"/>
    <w:rsid w:val="001775C9"/>
    <w:rsid w:val="00197879"/>
    <w:rsid w:val="00197ECC"/>
    <w:rsid w:val="001B095B"/>
    <w:rsid w:val="001B1DDE"/>
    <w:rsid w:val="001B22A4"/>
    <w:rsid w:val="001B2845"/>
    <w:rsid w:val="001B2B30"/>
    <w:rsid w:val="001B39FE"/>
    <w:rsid w:val="001B66C1"/>
    <w:rsid w:val="001C69E8"/>
    <w:rsid w:val="001D39F8"/>
    <w:rsid w:val="001D5622"/>
    <w:rsid w:val="001D7248"/>
    <w:rsid w:val="001E1D78"/>
    <w:rsid w:val="001E471C"/>
    <w:rsid w:val="001F7B4A"/>
    <w:rsid w:val="00202218"/>
    <w:rsid w:val="00227D27"/>
    <w:rsid w:val="00244F46"/>
    <w:rsid w:val="00247ADB"/>
    <w:rsid w:val="002543CA"/>
    <w:rsid w:val="0026467D"/>
    <w:rsid w:val="00265E3F"/>
    <w:rsid w:val="00266507"/>
    <w:rsid w:val="00272A8D"/>
    <w:rsid w:val="002809A1"/>
    <w:rsid w:val="0028697F"/>
    <w:rsid w:val="002A3839"/>
    <w:rsid w:val="002A4096"/>
    <w:rsid w:val="002B0EE7"/>
    <w:rsid w:val="002B241A"/>
    <w:rsid w:val="002C05DA"/>
    <w:rsid w:val="002C130C"/>
    <w:rsid w:val="002C36E2"/>
    <w:rsid w:val="002D1B7C"/>
    <w:rsid w:val="002E2C5C"/>
    <w:rsid w:val="00300944"/>
    <w:rsid w:val="003025A8"/>
    <w:rsid w:val="00320C8E"/>
    <w:rsid w:val="003325D0"/>
    <w:rsid w:val="003330FA"/>
    <w:rsid w:val="00333100"/>
    <w:rsid w:val="0033499C"/>
    <w:rsid w:val="003367E1"/>
    <w:rsid w:val="0033798D"/>
    <w:rsid w:val="00340828"/>
    <w:rsid w:val="003424F3"/>
    <w:rsid w:val="003426D1"/>
    <w:rsid w:val="003532B7"/>
    <w:rsid w:val="00357EAC"/>
    <w:rsid w:val="003619CC"/>
    <w:rsid w:val="00364211"/>
    <w:rsid w:val="003678BC"/>
    <w:rsid w:val="00371E82"/>
    <w:rsid w:val="003810D0"/>
    <w:rsid w:val="003866E5"/>
    <w:rsid w:val="00392BF9"/>
    <w:rsid w:val="003A02B7"/>
    <w:rsid w:val="003B4485"/>
    <w:rsid w:val="003B7FDE"/>
    <w:rsid w:val="003C21B6"/>
    <w:rsid w:val="003D576D"/>
    <w:rsid w:val="003F2A90"/>
    <w:rsid w:val="003F3532"/>
    <w:rsid w:val="003F4CAE"/>
    <w:rsid w:val="00400244"/>
    <w:rsid w:val="00413E10"/>
    <w:rsid w:val="00416110"/>
    <w:rsid w:val="00423B5E"/>
    <w:rsid w:val="00436C49"/>
    <w:rsid w:val="00442E7B"/>
    <w:rsid w:val="00444DCC"/>
    <w:rsid w:val="00452E80"/>
    <w:rsid w:val="00456B94"/>
    <w:rsid w:val="004605C1"/>
    <w:rsid w:val="004632FD"/>
    <w:rsid w:val="004644EA"/>
    <w:rsid w:val="004735EB"/>
    <w:rsid w:val="004736D8"/>
    <w:rsid w:val="00476E40"/>
    <w:rsid w:val="004836B8"/>
    <w:rsid w:val="00485178"/>
    <w:rsid w:val="00494BEC"/>
    <w:rsid w:val="00495FCA"/>
    <w:rsid w:val="004A2694"/>
    <w:rsid w:val="004A37E5"/>
    <w:rsid w:val="004B32CE"/>
    <w:rsid w:val="004D5D81"/>
    <w:rsid w:val="004E5111"/>
    <w:rsid w:val="004F4C2E"/>
    <w:rsid w:val="0051295B"/>
    <w:rsid w:val="00515CF4"/>
    <w:rsid w:val="00532A69"/>
    <w:rsid w:val="005365E2"/>
    <w:rsid w:val="00553BDF"/>
    <w:rsid w:val="005652C4"/>
    <w:rsid w:val="00575ACC"/>
    <w:rsid w:val="00576E19"/>
    <w:rsid w:val="00580CE2"/>
    <w:rsid w:val="0059076F"/>
    <w:rsid w:val="00596308"/>
    <w:rsid w:val="005B4370"/>
    <w:rsid w:val="005B5834"/>
    <w:rsid w:val="005C094C"/>
    <w:rsid w:val="005C3834"/>
    <w:rsid w:val="005C46AA"/>
    <w:rsid w:val="005D61D2"/>
    <w:rsid w:val="005E1FFC"/>
    <w:rsid w:val="005E2260"/>
    <w:rsid w:val="005E2E41"/>
    <w:rsid w:val="005F2EB1"/>
    <w:rsid w:val="005F702A"/>
    <w:rsid w:val="0060324D"/>
    <w:rsid w:val="00606886"/>
    <w:rsid w:val="00610F74"/>
    <w:rsid w:val="00615075"/>
    <w:rsid w:val="00620288"/>
    <w:rsid w:val="006203AD"/>
    <w:rsid w:val="0062375C"/>
    <w:rsid w:val="0065184D"/>
    <w:rsid w:val="00661A05"/>
    <w:rsid w:val="00663669"/>
    <w:rsid w:val="00671E18"/>
    <w:rsid w:val="00675BED"/>
    <w:rsid w:val="0069480F"/>
    <w:rsid w:val="006A5C42"/>
    <w:rsid w:val="006B342D"/>
    <w:rsid w:val="006B5A64"/>
    <w:rsid w:val="006C036B"/>
    <w:rsid w:val="006C1276"/>
    <w:rsid w:val="006C2D27"/>
    <w:rsid w:val="006C6F64"/>
    <w:rsid w:val="006D2BD6"/>
    <w:rsid w:val="006E751F"/>
    <w:rsid w:val="006F40CA"/>
    <w:rsid w:val="00705FBF"/>
    <w:rsid w:val="00707AF4"/>
    <w:rsid w:val="0071090D"/>
    <w:rsid w:val="00724FC4"/>
    <w:rsid w:val="007253DF"/>
    <w:rsid w:val="00725CE3"/>
    <w:rsid w:val="00730186"/>
    <w:rsid w:val="0073134B"/>
    <w:rsid w:val="0074468E"/>
    <w:rsid w:val="00760BFA"/>
    <w:rsid w:val="00766592"/>
    <w:rsid w:val="00772ED0"/>
    <w:rsid w:val="00797843"/>
    <w:rsid w:val="007A6556"/>
    <w:rsid w:val="007C11B9"/>
    <w:rsid w:val="007C30CB"/>
    <w:rsid w:val="007C4606"/>
    <w:rsid w:val="007E0857"/>
    <w:rsid w:val="007E3466"/>
    <w:rsid w:val="007E6F0C"/>
    <w:rsid w:val="007E6FAA"/>
    <w:rsid w:val="007F4D9B"/>
    <w:rsid w:val="007F60AD"/>
    <w:rsid w:val="007F7D9C"/>
    <w:rsid w:val="00806AB3"/>
    <w:rsid w:val="00824938"/>
    <w:rsid w:val="00830D19"/>
    <w:rsid w:val="00830FE9"/>
    <w:rsid w:val="00834B4A"/>
    <w:rsid w:val="0084104B"/>
    <w:rsid w:val="00845A88"/>
    <w:rsid w:val="00845ABD"/>
    <w:rsid w:val="00846863"/>
    <w:rsid w:val="00854000"/>
    <w:rsid w:val="00856030"/>
    <w:rsid w:val="0087221A"/>
    <w:rsid w:val="008732CC"/>
    <w:rsid w:val="00874703"/>
    <w:rsid w:val="008902B8"/>
    <w:rsid w:val="008A209D"/>
    <w:rsid w:val="008B4F5E"/>
    <w:rsid w:val="008B638D"/>
    <w:rsid w:val="008B6E5B"/>
    <w:rsid w:val="008C1DC1"/>
    <w:rsid w:val="008C4CB2"/>
    <w:rsid w:val="008D2B4F"/>
    <w:rsid w:val="008D7872"/>
    <w:rsid w:val="008E4283"/>
    <w:rsid w:val="008F1FDD"/>
    <w:rsid w:val="008F3501"/>
    <w:rsid w:val="008F6338"/>
    <w:rsid w:val="00900D96"/>
    <w:rsid w:val="00903341"/>
    <w:rsid w:val="009158E6"/>
    <w:rsid w:val="00925402"/>
    <w:rsid w:val="0092749B"/>
    <w:rsid w:val="00941F98"/>
    <w:rsid w:val="00946DAE"/>
    <w:rsid w:val="009573C5"/>
    <w:rsid w:val="00960CAC"/>
    <w:rsid w:val="00961ED3"/>
    <w:rsid w:val="009621A5"/>
    <w:rsid w:val="00964674"/>
    <w:rsid w:val="00970A28"/>
    <w:rsid w:val="0097339B"/>
    <w:rsid w:val="0097459B"/>
    <w:rsid w:val="00980B89"/>
    <w:rsid w:val="00983DCD"/>
    <w:rsid w:val="00983F62"/>
    <w:rsid w:val="00987F01"/>
    <w:rsid w:val="00991438"/>
    <w:rsid w:val="009923D8"/>
    <w:rsid w:val="00992A20"/>
    <w:rsid w:val="0099450D"/>
    <w:rsid w:val="009A3816"/>
    <w:rsid w:val="009A5682"/>
    <w:rsid w:val="009B4448"/>
    <w:rsid w:val="009B7D6E"/>
    <w:rsid w:val="009C0CBF"/>
    <w:rsid w:val="009C79F6"/>
    <w:rsid w:val="009D5E7E"/>
    <w:rsid w:val="009D7FCF"/>
    <w:rsid w:val="009E178E"/>
    <w:rsid w:val="009E574D"/>
    <w:rsid w:val="009E5BD2"/>
    <w:rsid w:val="009F16A0"/>
    <w:rsid w:val="009F1FED"/>
    <w:rsid w:val="00A0243E"/>
    <w:rsid w:val="00A052E3"/>
    <w:rsid w:val="00A06F71"/>
    <w:rsid w:val="00A27163"/>
    <w:rsid w:val="00A31A1B"/>
    <w:rsid w:val="00A3672E"/>
    <w:rsid w:val="00A52B31"/>
    <w:rsid w:val="00A66CE9"/>
    <w:rsid w:val="00A85F6C"/>
    <w:rsid w:val="00A964C2"/>
    <w:rsid w:val="00AA2186"/>
    <w:rsid w:val="00AA317D"/>
    <w:rsid w:val="00AA72A2"/>
    <w:rsid w:val="00AB1B55"/>
    <w:rsid w:val="00AB2735"/>
    <w:rsid w:val="00AB2CD5"/>
    <w:rsid w:val="00AB328D"/>
    <w:rsid w:val="00AB4D8E"/>
    <w:rsid w:val="00AC04F3"/>
    <w:rsid w:val="00AC4F70"/>
    <w:rsid w:val="00AC60A1"/>
    <w:rsid w:val="00AD0C7E"/>
    <w:rsid w:val="00AD4F9A"/>
    <w:rsid w:val="00AD5170"/>
    <w:rsid w:val="00AD71E2"/>
    <w:rsid w:val="00AE3CC0"/>
    <w:rsid w:val="00AF201F"/>
    <w:rsid w:val="00B00F73"/>
    <w:rsid w:val="00B02673"/>
    <w:rsid w:val="00B043CE"/>
    <w:rsid w:val="00B05B41"/>
    <w:rsid w:val="00B07FFD"/>
    <w:rsid w:val="00B162AC"/>
    <w:rsid w:val="00B412AF"/>
    <w:rsid w:val="00B42A8D"/>
    <w:rsid w:val="00B45AF4"/>
    <w:rsid w:val="00B56FFC"/>
    <w:rsid w:val="00B5741F"/>
    <w:rsid w:val="00B6167A"/>
    <w:rsid w:val="00B80D11"/>
    <w:rsid w:val="00B83AFD"/>
    <w:rsid w:val="00B865B8"/>
    <w:rsid w:val="00B8762E"/>
    <w:rsid w:val="00BA0A62"/>
    <w:rsid w:val="00BA4ECB"/>
    <w:rsid w:val="00BB09E5"/>
    <w:rsid w:val="00BD7B4C"/>
    <w:rsid w:val="00BE43FD"/>
    <w:rsid w:val="00BE6817"/>
    <w:rsid w:val="00BE73D2"/>
    <w:rsid w:val="00BF42F3"/>
    <w:rsid w:val="00BF666F"/>
    <w:rsid w:val="00C057F5"/>
    <w:rsid w:val="00C10521"/>
    <w:rsid w:val="00C10E33"/>
    <w:rsid w:val="00C161EE"/>
    <w:rsid w:val="00C25CEC"/>
    <w:rsid w:val="00C343C8"/>
    <w:rsid w:val="00C3564F"/>
    <w:rsid w:val="00C46B56"/>
    <w:rsid w:val="00C55FF1"/>
    <w:rsid w:val="00C626FC"/>
    <w:rsid w:val="00C6722A"/>
    <w:rsid w:val="00C713BD"/>
    <w:rsid w:val="00C71847"/>
    <w:rsid w:val="00C72839"/>
    <w:rsid w:val="00C90123"/>
    <w:rsid w:val="00C953C5"/>
    <w:rsid w:val="00CC0C78"/>
    <w:rsid w:val="00CC2C86"/>
    <w:rsid w:val="00CC3B7B"/>
    <w:rsid w:val="00CC6AD7"/>
    <w:rsid w:val="00CD59F7"/>
    <w:rsid w:val="00CE78F0"/>
    <w:rsid w:val="00CF16C3"/>
    <w:rsid w:val="00D01620"/>
    <w:rsid w:val="00D07B63"/>
    <w:rsid w:val="00D14FEA"/>
    <w:rsid w:val="00D16948"/>
    <w:rsid w:val="00D16968"/>
    <w:rsid w:val="00D22C57"/>
    <w:rsid w:val="00D23583"/>
    <w:rsid w:val="00D2672A"/>
    <w:rsid w:val="00D40736"/>
    <w:rsid w:val="00D44A51"/>
    <w:rsid w:val="00D4553C"/>
    <w:rsid w:val="00D4656F"/>
    <w:rsid w:val="00D67235"/>
    <w:rsid w:val="00D67362"/>
    <w:rsid w:val="00D738D8"/>
    <w:rsid w:val="00D756DB"/>
    <w:rsid w:val="00D75A03"/>
    <w:rsid w:val="00D77988"/>
    <w:rsid w:val="00D81F95"/>
    <w:rsid w:val="00D919FF"/>
    <w:rsid w:val="00D93A51"/>
    <w:rsid w:val="00D95E7B"/>
    <w:rsid w:val="00DA6038"/>
    <w:rsid w:val="00DA6E94"/>
    <w:rsid w:val="00DB4865"/>
    <w:rsid w:val="00DD2AD3"/>
    <w:rsid w:val="00DD7B82"/>
    <w:rsid w:val="00DE2FCA"/>
    <w:rsid w:val="00DF1553"/>
    <w:rsid w:val="00DF3FF9"/>
    <w:rsid w:val="00E168F6"/>
    <w:rsid w:val="00E17A09"/>
    <w:rsid w:val="00E20180"/>
    <w:rsid w:val="00E2555E"/>
    <w:rsid w:val="00E26E8F"/>
    <w:rsid w:val="00E403A5"/>
    <w:rsid w:val="00E44A05"/>
    <w:rsid w:val="00E53FAB"/>
    <w:rsid w:val="00E5528B"/>
    <w:rsid w:val="00E57F74"/>
    <w:rsid w:val="00E6331A"/>
    <w:rsid w:val="00E63D5D"/>
    <w:rsid w:val="00E6511B"/>
    <w:rsid w:val="00E664C8"/>
    <w:rsid w:val="00E706D1"/>
    <w:rsid w:val="00E7608C"/>
    <w:rsid w:val="00E76FC0"/>
    <w:rsid w:val="00E81941"/>
    <w:rsid w:val="00E92755"/>
    <w:rsid w:val="00E93AAC"/>
    <w:rsid w:val="00EA5AEA"/>
    <w:rsid w:val="00EB4334"/>
    <w:rsid w:val="00EC471B"/>
    <w:rsid w:val="00EC5B13"/>
    <w:rsid w:val="00ED64E7"/>
    <w:rsid w:val="00EF4880"/>
    <w:rsid w:val="00EF5708"/>
    <w:rsid w:val="00F02D5E"/>
    <w:rsid w:val="00F106A8"/>
    <w:rsid w:val="00F12ABE"/>
    <w:rsid w:val="00F251CE"/>
    <w:rsid w:val="00F27CCA"/>
    <w:rsid w:val="00F37821"/>
    <w:rsid w:val="00F50AF6"/>
    <w:rsid w:val="00F5152D"/>
    <w:rsid w:val="00F522DF"/>
    <w:rsid w:val="00F525D6"/>
    <w:rsid w:val="00F53477"/>
    <w:rsid w:val="00F552F1"/>
    <w:rsid w:val="00F571A2"/>
    <w:rsid w:val="00F63018"/>
    <w:rsid w:val="00F67918"/>
    <w:rsid w:val="00F731CB"/>
    <w:rsid w:val="00F76BF5"/>
    <w:rsid w:val="00F93A03"/>
    <w:rsid w:val="00F93D35"/>
    <w:rsid w:val="00FA572B"/>
    <w:rsid w:val="00FB23E8"/>
    <w:rsid w:val="00FB67C6"/>
    <w:rsid w:val="00FB7C6A"/>
    <w:rsid w:val="00FD306D"/>
    <w:rsid w:val="00FE12C6"/>
    <w:rsid w:val="00FE2208"/>
    <w:rsid w:val="00FE5110"/>
    <w:rsid w:val="00FF1242"/>
    <w:rsid w:val="00F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221F"/>
  <w15:docId w15:val="{18D43E57-CCA5-4AC6-9641-2AFB5317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6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C78"/>
    <w:rPr>
      <w:rFonts w:ascii="Tahoma" w:hAnsi="Tahoma" w:cs="Tahoma"/>
      <w:sz w:val="16"/>
      <w:szCs w:val="16"/>
    </w:rPr>
  </w:style>
  <w:style w:type="character" w:customStyle="1" w:styleId="BalloonTextChar">
    <w:name w:val="Balloon Text Char"/>
    <w:basedOn w:val="DefaultParagraphFont"/>
    <w:link w:val="BalloonText"/>
    <w:uiPriority w:val="99"/>
    <w:semiHidden/>
    <w:rsid w:val="00CC0C78"/>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1775C9"/>
    <w:rPr>
      <w:sz w:val="16"/>
      <w:szCs w:val="16"/>
    </w:rPr>
  </w:style>
  <w:style w:type="paragraph" w:styleId="CommentText">
    <w:name w:val="annotation text"/>
    <w:basedOn w:val="Normal"/>
    <w:link w:val="CommentTextChar"/>
    <w:uiPriority w:val="99"/>
    <w:semiHidden/>
    <w:unhideWhenUsed/>
    <w:rsid w:val="001775C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775C9"/>
    <w:rPr>
      <w:sz w:val="20"/>
      <w:szCs w:val="20"/>
    </w:rPr>
  </w:style>
  <w:style w:type="character" w:styleId="Hyperlink">
    <w:name w:val="Hyperlink"/>
    <w:basedOn w:val="DefaultParagraphFont"/>
    <w:uiPriority w:val="99"/>
    <w:unhideWhenUsed/>
    <w:rsid w:val="001775C9"/>
    <w:rPr>
      <w:color w:val="0000FF" w:themeColor="hyperlink"/>
      <w:u w:val="single"/>
    </w:rPr>
  </w:style>
  <w:style w:type="paragraph" w:customStyle="1" w:styleId="Default">
    <w:name w:val="Default"/>
    <w:rsid w:val="004D5D8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D5D81"/>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4D5D81"/>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F76BF5"/>
    <w:rPr>
      <w:color w:val="605E5C"/>
      <w:shd w:val="clear" w:color="auto" w:fill="E1DFDD"/>
    </w:rPr>
  </w:style>
  <w:style w:type="character" w:styleId="FollowedHyperlink">
    <w:name w:val="FollowedHyperlink"/>
    <w:basedOn w:val="DefaultParagraphFont"/>
    <w:uiPriority w:val="99"/>
    <w:semiHidden/>
    <w:unhideWhenUsed/>
    <w:rsid w:val="00DB4865"/>
    <w:rPr>
      <w:color w:val="800080" w:themeColor="followedHyperlink"/>
      <w:u w:val="single"/>
    </w:rPr>
  </w:style>
  <w:style w:type="paragraph" w:styleId="Header">
    <w:name w:val="header"/>
    <w:basedOn w:val="Normal"/>
    <w:link w:val="HeaderChar"/>
    <w:uiPriority w:val="99"/>
    <w:unhideWhenUsed/>
    <w:rsid w:val="002C36E2"/>
    <w:pPr>
      <w:tabs>
        <w:tab w:val="center" w:pos="4680"/>
        <w:tab w:val="right" w:pos="9360"/>
      </w:tabs>
    </w:pPr>
  </w:style>
  <w:style w:type="character" w:customStyle="1" w:styleId="HeaderChar">
    <w:name w:val="Header Char"/>
    <w:basedOn w:val="DefaultParagraphFont"/>
    <w:link w:val="Header"/>
    <w:uiPriority w:val="99"/>
    <w:rsid w:val="002C36E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C36E2"/>
    <w:pPr>
      <w:tabs>
        <w:tab w:val="center" w:pos="4680"/>
        <w:tab w:val="right" w:pos="9360"/>
      </w:tabs>
    </w:pPr>
  </w:style>
  <w:style w:type="character" w:customStyle="1" w:styleId="FooterChar">
    <w:name w:val="Footer Char"/>
    <w:basedOn w:val="DefaultParagraphFont"/>
    <w:link w:val="Footer"/>
    <w:uiPriority w:val="99"/>
    <w:rsid w:val="002C36E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80713">
      <w:bodyDiv w:val="1"/>
      <w:marLeft w:val="0"/>
      <w:marRight w:val="0"/>
      <w:marTop w:val="0"/>
      <w:marBottom w:val="0"/>
      <w:divBdr>
        <w:top w:val="none" w:sz="0" w:space="0" w:color="auto"/>
        <w:left w:val="none" w:sz="0" w:space="0" w:color="auto"/>
        <w:bottom w:val="none" w:sz="0" w:space="0" w:color="auto"/>
        <w:right w:val="none" w:sz="0" w:space="0" w:color="auto"/>
      </w:divBdr>
      <w:divsChild>
        <w:div w:id="7103386">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sChild>
    </w:div>
    <w:div w:id="747120746">
      <w:bodyDiv w:val="1"/>
      <w:marLeft w:val="0"/>
      <w:marRight w:val="0"/>
      <w:marTop w:val="0"/>
      <w:marBottom w:val="0"/>
      <w:divBdr>
        <w:top w:val="none" w:sz="0" w:space="0" w:color="auto"/>
        <w:left w:val="none" w:sz="0" w:space="0" w:color="auto"/>
        <w:bottom w:val="none" w:sz="0" w:space="0" w:color="auto"/>
        <w:right w:val="none" w:sz="0" w:space="0" w:color="auto"/>
      </w:divBdr>
    </w:div>
    <w:div w:id="928732265">
      <w:bodyDiv w:val="1"/>
      <w:marLeft w:val="0"/>
      <w:marRight w:val="0"/>
      <w:marTop w:val="0"/>
      <w:marBottom w:val="0"/>
      <w:divBdr>
        <w:top w:val="none" w:sz="0" w:space="0" w:color="auto"/>
        <w:left w:val="none" w:sz="0" w:space="0" w:color="auto"/>
        <w:bottom w:val="none" w:sz="0" w:space="0" w:color="auto"/>
        <w:right w:val="none" w:sz="0" w:space="0" w:color="auto"/>
      </w:divBdr>
    </w:div>
    <w:div w:id="1389644056">
      <w:bodyDiv w:val="1"/>
      <w:marLeft w:val="0"/>
      <w:marRight w:val="0"/>
      <w:marTop w:val="0"/>
      <w:marBottom w:val="0"/>
      <w:divBdr>
        <w:top w:val="none" w:sz="0" w:space="0" w:color="auto"/>
        <w:left w:val="none" w:sz="0" w:space="0" w:color="auto"/>
        <w:bottom w:val="none" w:sz="0" w:space="0" w:color="auto"/>
        <w:right w:val="none" w:sz="0" w:space="0" w:color="auto"/>
      </w:divBdr>
    </w:div>
    <w:div w:id="14756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enmentalhealth.org/toolbox/%20?filter_category-filter=school-mental-health-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doi.org/10.1016/j.jaac.2016.03.001"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a-ace.ca/education-canada/article/school-mental-health-literac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CA"/>
              <a:t>Knowledge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Pre-session</c:v>
                </c:pt>
              </c:strCache>
            </c:strRef>
          </c:tx>
          <c:spPr>
            <a:solidFill>
              <a:schemeClr val="accent4">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Control</c:v>
                </c:pt>
                <c:pt idx="1">
                  <c:v>Experimental</c:v>
                </c:pt>
              </c:strCache>
            </c:strRef>
          </c:cat>
          <c:val>
            <c:numRef>
              <c:f>Sheet1!$B$2:$B$3</c:f>
              <c:numCache>
                <c:formatCode>General</c:formatCode>
                <c:ptCount val="2"/>
                <c:pt idx="0">
                  <c:v>10.6</c:v>
                </c:pt>
                <c:pt idx="1">
                  <c:v>10.86</c:v>
                </c:pt>
              </c:numCache>
            </c:numRef>
          </c:val>
          <c:extLst>
            <c:ext xmlns:c16="http://schemas.microsoft.com/office/drawing/2014/chart" uri="{C3380CC4-5D6E-409C-BE32-E72D297353CC}">
              <c16:uniqueId val="{00000000-0E79-4BCA-A939-13AEC143DA85}"/>
            </c:ext>
          </c:extLst>
        </c:ser>
        <c:ser>
          <c:idx val="1"/>
          <c:order val="1"/>
          <c:tx>
            <c:strRef>
              <c:f>Sheet1!$C$1</c:f>
              <c:strCache>
                <c:ptCount val="1"/>
                <c:pt idx="0">
                  <c:v>Post-session</c:v>
                </c:pt>
              </c:strCache>
            </c:strRef>
          </c:tx>
          <c:spPr>
            <a:solidFill>
              <a:schemeClr val="accent4">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Control</c:v>
                </c:pt>
                <c:pt idx="1">
                  <c:v>Experimental</c:v>
                </c:pt>
              </c:strCache>
            </c:strRef>
          </c:cat>
          <c:val>
            <c:numRef>
              <c:f>Sheet1!$C$2:$C$3</c:f>
              <c:numCache>
                <c:formatCode>General</c:formatCode>
                <c:ptCount val="2"/>
                <c:pt idx="0">
                  <c:v>11.27</c:v>
                </c:pt>
                <c:pt idx="1">
                  <c:v>16.46</c:v>
                </c:pt>
              </c:numCache>
            </c:numRef>
          </c:val>
          <c:extLst>
            <c:ext xmlns:c16="http://schemas.microsoft.com/office/drawing/2014/chart" uri="{C3380CC4-5D6E-409C-BE32-E72D297353CC}">
              <c16:uniqueId val="{00000001-0E79-4BCA-A939-13AEC143DA85}"/>
            </c:ext>
          </c:extLst>
        </c:ser>
        <c:dLbls>
          <c:dLblPos val="outEnd"/>
          <c:showLegendKey val="0"/>
          <c:showVal val="1"/>
          <c:showCatName val="0"/>
          <c:showSerName val="0"/>
          <c:showPercent val="0"/>
          <c:showBubbleSize val="0"/>
        </c:dLbls>
        <c:gapWidth val="80"/>
        <c:overlap val="25"/>
        <c:axId val="157970720"/>
        <c:axId val="157967576"/>
      </c:barChart>
      <c:catAx>
        <c:axId val="1579707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57967576"/>
        <c:crosses val="autoZero"/>
        <c:auto val="1"/>
        <c:lblAlgn val="ctr"/>
        <c:lblOffset val="100"/>
        <c:noMultiLvlLbl val="0"/>
      </c:catAx>
      <c:valAx>
        <c:axId val="15796757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5797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CA"/>
              <a:t>Attitudes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Pre-session</c:v>
                </c:pt>
              </c:strCache>
            </c:strRef>
          </c:tx>
          <c:spPr>
            <a:solidFill>
              <a:schemeClr val="accent3">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Control</c:v>
                </c:pt>
                <c:pt idx="1">
                  <c:v>Experimental</c:v>
                </c:pt>
              </c:strCache>
            </c:strRef>
          </c:cat>
          <c:val>
            <c:numRef>
              <c:f>Sheet1!$B$2:$B$3</c:f>
              <c:numCache>
                <c:formatCode>General</c:formatCode>
                <c:ptCount val="2"/>
                <c:pt idx="0">
                  <c:v>61.33</c:v>
                </c:pt>
                <c:pt idx="1">
                  <c:v>66.27</c:v>
                </c:pt>
              </c:numCache>
            </c:numRef>
          </c:val>
          <c:extLst>
            <c:ext xmlns:c16="http://schemas.microsoft.com/office/drawing/2014/chart" uri="{C3380CC4-5D6E-409C-BE32-E72D297353CC}">
              <c16:uniqueId val="{00000000-8A33-47DE-BAE1-F5708E10FAF4}"/>
            </c:ext>
          </c:extLst>
        </c:ser>
        <c:ser>
          <c:idx val="1"/>
          <c:order val="1"/>
          <c:tx>
            <c:strRef>
              <c:f>Sheet1!$C$1</c:f>
              <c:strCache>
                <c:ptCount val="1"/>
                <c:pt idx="0">
                  <c:v>Post-session</c:v>
                </c:pt>
              </c:strCache>
            </c:strRef>
          </c:tx>
          <c:spPr>
            <a:solidFill>
              <a:schemeClr val="accent3">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Control</c:v>
                </c:pt>
                <c:pt idx="1">
                  <c:v>Experimental</c:v>
                </c:pt>
              </c:strCache>
            </c:strRef>
          </c:cat>
          <c:val>
            <c:numRef>
              <c:f>Sheet1!$C$2:$C$3</c:f>
              <c:numCache>
                <c:formatCode>General</c:formatCode>
                <c:ptCount val="2"/>
                <c:pt idx="0">
                  <c:v>61.1</c:v>
                </c:pt>
                <c:pt idx="1">
                  <c:v>67.45</c:v>
                </c:pt>
              </c:numCache>
            </c:numRef>
          </c:val>
          <c:extLst>
            <c:ext xmlns:c16="http://schemas.microsoft.com/office/drawing/2014/chart" uri="{C3380CC4-5D6E-409C-BE32-E72D297353CC}">
              <c16:uniqueId val="{00000001-8A33-47DE-BAE1-F5708E10FAF4}"/>
            </c:ext>
          </c:extLst>
        </c:ser>
        <c:dLbls>
          <c:dLblPos val="outEnd"/>
          <c:showLegendKey val="0"/>
          <c:showVal val="1"/>
          <c:showCatName val="0"/>
          <c:showSerName val="0"/>
          <c:showPercent val="0"/>
          <c:showBubbleSize val="0"/>
        </c:dLbls>
        <c:gapWidth val="80"/>
        <c:overlap val="25"/>
        <c:axId val="156483840"/>
        <c:axId val="156483448"/>
      </c:barChart>
      <c:catAx>
        <c:axId val="1564838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56483448"/>
        <c:crosses val="autoZero"/>
        <c:auto val="1"/>
        <c:lblAlgn val="ctr"/>
        <c:lblOffset val="100"/>
        <c:noMultiLvlLbl val="0"/>
      </c:catAx>
      <c:valAx>
        <c:axId val="1564834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5648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CA"/>
              <a:t>Help-Seeking</a:t>
            </a:r>
          </a:p>
        </c:rich>
      </c:tx>
      <c:layout>
        <c:manualLayout>
          <c:xMode val="edge"/>
          <c:yMode val="edge"/>
          <c:x val="0.2485963670677046"/>
          <c:y val="0"/>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Pre-session</c:v>
                </c:pt>
              </c:strCache>
            </c:strRef>
          </c:tx>
          <c:spPr>
            <a:solidFill>
              <a:schemeClr val="accent5">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Control</c:v>
                </c:pt>
                <c:pt idx="1">
                  <c:v>Experimental</c:v>
                </c:pt>
              </c:strCache>
            </c:strRef>
          </c:cat>
          <c:val>
            <c:numRef>
              <c:f>Sheet1!$B$2:$B$3</c:f>
              <c:numCache>
                <c:formatCode>General</c:formatCode>
                <c:ptCount val="2"/>
                <c:pt idx="0">
                  <c:v>25.7</c:v>
                </c:pt>
                <c:pt idx="1">
                  <c:v>28.76</c:v>
                </c:pt>
              </c:numCache>
            </c:numRef>
          </c:val>
          <c:extLst>
            <c:ext xmlns:c16="http://schemas.microsoft.com/office/drawing/2014/chart" uri="{C3380CC4-5D6E-409C-BE32-E72D297353CC}">
              <c16:uniqueId val="{00000000-2BCE-4209-9ECB-6D41FF040FA0}"/>
            </c:ext>
          </c:extLst>
        </c:ser>
        <c:ser>
          <c:idx val="1"/>
          <c:order val="1"/>
          <c:tx>
            <c:strRef>
              <c:f>Sheet1!$C$1</c:f>
              <c:strCache>
                <c:ptCount val="1"/>
                <c:pt idx="0">
                  <c:v>Post-session</c:v>
                </c:pt>
              </c:strCache>
            </c:strRef>
          </c:tx>
          <c:spPr>
            <a:solidFill>
              <a:schemeClr val="accent5">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Control</c:v>
                </c:pt>
                <c:pt idx="1">
                  <c:v>Experimental</c:v>
                </c:pt>
              </c:strCache>
            </c:strRef>
          </c:cat>
          <c:val>
            <c:numRef>
              <c:f>Sheet1!$C$2:$C$3</c:f>
              <c:numCache>
                <c:formatCode>General</c:formatCode>
                <c:ptCount val="2"/>
                <c:pt idx="0">
                  <c:v>26</c:v>
                </c:pt>
                <c:pt idx="1">
                  <c:v>29.16</c:v>
                </c:pt>
              </c:numCache>
            </c:numRef>
          </c:val>
          <c:extLst>
            <c:ext xmlns:c16="http://schemas.microsoft.com/office/drawing/2014/chart" uri="{C3380CC4-5D6E-409C-BE32-E72D297353CC}">
              <c16:uniqueId val="{00000001-2BCE-4209-9ECB-6D41FF040FA0}"/>
            </c:ext>
          </c:extLst>
        </c:ser>
        <c:dLbls>
          <c:dLblPos val="outEnd"/>
          <c:showLegendKey val="0"/>
          <c:showVal val="1"/>
          <c:showCatName val="0"/>
          <c:showSerName val="0"/>
          <c:showPercent val="0"/>
          <c:showBubbleSize val="0"/>
        </c:dLbls>
        <c:gapWidth val="80"/>
        <c:overlap val="25"/>
        <c:axId val="156483840"/>
        <c:axId val="156483448"/>
      </c:barChart>
      <c:catAx>
        <c:axId val="15648384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56483448"/>
        <c:crosses val="autoZero"/>
        <c:auto val="1"/>
        <c:lblAlgn val="ctr"/>
        <c:lblOffset val="100"/>
        <c:noMultiLvlLbl val="0"/>
      </c:catAx>
      <c:valAx>
        <c:axId val="156483448"/>
        <c:scaling>
          <c:orientation val="minMax"/>
          <c:min val="2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5648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4CBD3-028F-4CE0-8083-24F34C60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mackak</dc:creator>
  <cp:lastModifiedBy>Winnie Wei</cp:lastModifiedBy>
  <cp:revision>9</cp:revision>
  <dcterms:created xsi:type="dcterms:W3CDTF">2021-02-16T13:43:00Z</dcterms:created>
  <dcterms:modified xsi:type="dcterms:W3CDTF">2021-02-16T18:53:00Z</dcterms:modified>
</cp:coreProperties>
</file>